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55" w:rsidRPr="00BE51DC" w:rsidRDefault="00112527" w:rsidP="00817ED7">
      <w:pPr>
        <w:spacing w:after="0"/>
        <w:jc w:val="center"/>
        <w:rPr>
          <w:rFonts w:ascii="gobCL" w:hAnsi="gobCL"/>
          <w:b/>
          <w:sz w:val="32"/>
          <w:szCs w:val="32"/>
          <w:lang w:val="es-ES"/>
        </w:rPr>
      </w:pPr>
      <w:r w:rsidRPr="00BE51DC">
        <w:rPr>
          <w:rFonts w:ascii="gobCL" w:hAnsi="gobCL"/>
          <w:b/>
          <w:sz w:val="32"/>
          <w:szCs w:val="32"/>
          <w:lang w:val="es-ES"/>
        </w:rPr>
        <w:t>CARTA DE SERVICIO</w:t>
      </w:r>
    </w:p>
    <w:p w:rsidR="00112527" w:rsidRPr="00BE51DC" w:rsidRDefault="00112527" w:rsidP="00817ED7">
      <w:pPr>
        <w:spacing w:after="0"/>
        <w:jc w:val="center"/>
        <w:rPr>
          <w:rFonts w:ascii="gobCL" w:hAnsi="gobCL"/>
          <w:b/>
          <w:sz w:val="28"/>
          <w:szCs w:val="32"/>
          <w:lang w:val="es-ES"/>
        </w:rPr>
      </w:pPr>
      <w:r w:rsidRPr="00BE51DC">
        <w:rPr>
          <w:rFonts w:ascii="gobCL" w:hAnsi="gobCL"/>
          <w:b/>
          <w:sz w:val="28"/>
          <w:szCs w:val="32"/>
          <w:lang w:val="es-ES"/>
        </w:rPr>
        <w:t>SUBSECRETAR</w:t>
      </w:r>
      <w:r w:rsidR="00FA4055" w:rsidRPr="00BE51DC">
        <w:rPr>
          <w:rFonts w:ascii="gobCL" w:hAnsi="gobCL"/>
          <w:b/>
          <w:sz w:val="28"/>
          <w:szCs w:val="32"/>
          <w:lang w:val="es-ES"/>
        </w:rPr>
        <w:t>IA DE L</w:t>
      </w:r>
      <w:bookmarkStart w:id="0" w:name="_GoBack"/>
      <w:bookmarkEnd w:id="0"/>
      <w:r w:rsidR="00FA4055" w:rsidRPr="00BE51DC">
        <w:rPr>
          <w:rFonts w:ascii="gobCL" w:hAnsi="gobCL"/>
          <w:b/>
          <w:sz w:val="28"/>
          <w:szCs w:val="32"/>
          <w:lang w:val="es-ES"/>
        </w:rPr>
        <w:t>AS CULTURAS  Y LAS ARTES</w:t>
      </w:r>
    </w:p>
    <w:p w:rsidR="00112527" w:rsidRPr="00365F35" w:rsidRDefault="00112527" w:rsidP="00365F35">
      <w:pPr>
        <w:rPr>
          <w:rFonts w:ascii="gobCL" w:hAnsi="gobCL"/>
          <w:sz w:val="24"/>
          <w:szCs w:val="24"/>
          <w:lang w:val="es-ES"/>
        </w:rPr>
      </w:pPr>
    </w:p>
    <w:p w:rsidR="00FA4055" w:rsidRPr="00365F35" w:rsidRDefault="00FA4055" w:rsidP="00365F35">
      <w:pPr>
        <w:rPr>
          <w:rFonts w:ascii="gobCL" w:hAnsi="gobCL"/>
          <w:sz w:val="24"/>
          <w:szCs w:val="24"/>
          <w:lang w:val="es-ES"/>
        </w:rPr>
      </w:pPr>
    </w:p>
    <w:p w:rsidR="009808C0" w:rsidRPr="003163AF" w:rsidRDefault="00112527" w:rsidP="00365F35">
      <w:pPr>
        <w:rPr>
          <w:rFonts w:ascii="gobCL" w:hAnsi="gobCL"/>
          <w:b/>
          <w:sz w:val="28"/>
          <w:szCs w:val="24"/>
          <w:lang w:val="es-ES"/>
        </w:rPr>
      </w:pPr>
      <w:r w:rsidRPr="003163AF">
        <w:rPr>
          <w:rFonts w:ascii="gobCL" w:hAnsi="gobCL"/>
          <w:b/>
          <w:sz w:val="28"/>
          <w:szCs w:val="24"/>
          <w:lang w:val="es-ES"/>
        </w:rPr>
        <w:t>¿QUÉ ES LA CARTA DE SERVICIOS?</w:t>
      </w:r>
    </w:p>
    <w:p w:rsidR="00D94ACD" w:rsidRPr="00365F35" w:rsidRDefault="007A788C" w:rsidP="006E0848">
      <w:pPr>
        <w:spacing w:line="360" w:lineRule="auto"/>
        <w:rPr>
          <w:rFonts w:ascii="gobCL" w:eastAsia="ヒラギノ角ゴ Pro W3" w:hAnsi="gobCL"/>
          <w:color w:val="000000"/>
          <w:sz w:val="24"/>
          <w:szCs w:val="24"/>
          <w:lang w:val="es-ES"/>
        </w:rPr>
      </w:pPr>
      <w:r w:rsidRPr="00365F35">
        <w:rPr>
          <w:rFonts w:ascii="gobCL" w:eastAsia="ヒラギノ角ゴ Pro W3" w:hAnsi="gobCL"/>
          <w:color w:val="000000"/>
          <w:sz w:val="24"/>
          <w:szCs w:val="24"/>
          <w:lang w:val="es-ES"/>
        </w:rPr>
        <w:t xml:space="preserve">La Carta de Servicios es un documento que da a conocer </w:t>
      </w:r>
      <w:r w:rsidR="003913FE" w:rsidRPr="00365F35">
        <w:rPr>
          <w:rFonts w:ascii="gobCL" w:eastAsia="ヒラギノ角ゴ Pro W3" w:hAnsi="gobCL"/>
          <w:color w:val="000000"/>
          <w:sz w:val="24"/>
          <w:szCs w:val="24"/>
          <w:lang w:val="es-ES"/>
        </w:rPr>
        <w:t xml:space="preserve">a la ciudadanía aquellos </w:t>
      </w:r>
      <w:r w:rsidR="009808C0" w:rsidRPr="00365F35">
        <w:rPr>
          <w:rFonts w:ascii="gobCL" w:eastAsia="ヒラギノ角ゴ Pro W3" w:hAnsi="gobCL"/>
          <w:color w:val="000000"/>
          <w:sz w:val="24"/>
          <w:szCs w:val="24"/>
          <w:lang w:val="es-ES"/>
        </w:rPr>
        <w:t xml:space="preserve">servicios </w:t>
      </w:r>
      <w:r w:rsidR="003913FE" w:rsidRPr="00365F35">
        <w:rPr>
          <w:rFonts w:ascii="gobCL" w:eastAsia="ヒラギノ角ゴ Pro W3" w:hAnsi="gobCL"/>
          <w:color w:val="000000"/>
          <w:sz w:val="24"/>
          <w:szCs w:val="24"/>
          <w:lang w:val="es-ES"/>
        </w:rPr>
        <w:t xml:space="preserve">y/o productos </w:t>
      </w:r>
      <w:r w:rsidR="009808C0" w:rsidRPr="00365F35">
        <w:rPr>
          <w:rFonts w:ascii="gobCL" w:eastAsia="ヒラギノ角ゴ Pro W3" w:hAnsi="gobCL"/>
          <w:color w:val="000000"/>
          <w:sz w:val="24"/>
          <w:szCs w:val="24"/>
          <w:lang w:val="es-ES"/>
        </w:rPr>
        <w:t xml:space="preserve">que </w:t>
      </w:r>
      <w:r w:rsidR="00112527" w:rsidRPr="00365F35">
        <w:rPr>
          <w:rFonts w:ascii="gobCL" w:eastAsia="ヒラギノ角ゴ Pro W3" w:hAnsi="gobCL"/>
          <w:color w:val="000000"/>
          <w:sz w:val="24"/>
          <w:szCs w:val="24"/>
          <w:lang w:val="es-ES"/>
        </w:rPr>
        <w:t xml:space="preserve">entrega a la ciudadanía el Ministerio de las Culturas y las Artes a través de los diversos programas que gestiona la Subsecretaria de las Culturas y las Artes. </w:t>
      </w:r>
    </w:p>
    <w:p w:rsidR="00112527" w:rsidRPr="003163AF" w:rsidRDefault="00112527" w:rsidP="00365F35">
      <w:pPr>
        <w:rPr>
          <w:rFonts w:ascii="gobCL" w:eastAsia="ヒラギノ角ゴ Pro W3" w:hAnsi="gobCL"/>
          <w:b/>
          <w:color w:val="000000"/>
          <w:sz w:val="28"/>
          <w:szCs w:val="24"/>
          <w:lang w:val="es-ES"/>
        </w:rPr>
      </w:pPr>
      <w:r w:rsidRPr="003163AF">
        <w:rPr>
          <w:rFonts w:ascii="gobCL" w:eastAsia="ヒラギノ角ゴ Pro W3" w:hAnsi="gobCL"/>
          <w:b/>
          <w:color w:val="000000"/>
          <w:sz w:val="28"/>
          <w:szCs w:val="24"/>
          <w:lang w:val="es-ES"/>
        </w:rPr>
        <w:t>¿QUIÉNES SOMOS?</w:t>
      </w:r>
    </w:p>
    <w:p w:rsidR="00112527" w:rsidRPr="00365F35" w:rsidRDefault="00112527" w:rsidP="006E0848">
      <w:pPr>
        <w:spacing w:line="360" w:lineRule="auto"/>
        <w:jc w:val="both"/>
        <w:rPr>
          <w:rFonts w:ascii="gobCL" w:hAnsi="gobCL" w:cstheme="minorHAnsi"/>
          <w:sz w:val="24"/>
          <w:szCs w:val="24"/>
          <w:lang w:val="es-ES"/>
        </w:rPr>
      </w:pPr>
      <w:r w:rsidRPr="00365F35">
        <w:rPr>
          <w:rFonts w:ascii="gobCL" w:hAnsi="gobCL"/>
          <w:sz w:val="24"/>
          <w:szCs w:val="24"/>
        </w:rPr>
        <w:t>El Ministerio de las Culturas, las Artes y el Patrimonio es la Secretaría de Estado encargada de colaborar con el/la Presidente/a de la República en el diseño, formulación e implementación de políticas, planes y programas para contribuir al desarrollo cultural y patrimonial armónico y equitativo del país en toda su diversidad, reconociendo y valorando las culturas de los pueblos indígenas, la diversidad geográfica y las realidades e identidades regionales y locales</w:t>
      </w:r>
      <w:r w:rsidR="00817ED7">
        <w:rPr>
          <w:rFonts w:ascii="gobCL" w:hAnsi="gobCL"/>
          <w:sz w:val="24"/>
          <w:szCs w:val="24"/>
        </w:rPr>
        <w:t>.</w:t>
      </w:r>
    </w:p>
    <w:p w:rsidR="00112527" w:rsidRPr="003163AF" w:rsidRDefault="00112527" w:rsidP="00365F35">
      <w:pPr>
        <w:rPr>
          <w:rFonts w:ascii="gobCL" w:eastAsia="ヒラギノ角ゴ Pro W3" w:hAnsi="gobCL"/>
          <w:b/>
          <w:color w:val="000000"/>
          <w:sz w:val="28"/>
          <w:szCs w:val="24"/>
          <w:lang w:val="es-ES"/>
        </w:rPr>
      </w:pPr>
      <w:r w:rsidRPr="003163AF">
        <w:rPr>
          <w:rFonts w:ascii="gobCL" w:eastAsia="ヒラギノ角ゴ Pro W3" w:hAnsi="gobCL"/>
          <w:b/>
          <w:color w:val="000000"/>
          <w:sz w:val="28"/>
          <w:szCs w:val="24"/>
          <w:lang w:val="es-ES"/>
        </w:rPr>
        <w:t xml:space="preserve">¿QUÉ HACEMOS? (MISIÓN) </w:t>
      </w:r>
    </w:p>
    <w:p w:rsidR="00112527" w:rsidRPr="00365F35" w:rsidRDefault="00112527" w:rsidP="006E0848">
      <w:pPr>
        <w:spacing w:line="360" w:lineRule="auto"/>
        <w:rPr>
          <w:rFonts w:ascii="gobCL" w:eastAsia="ヒラギノ角ゴ Pro W3" w:hAnsi="gobCL"/>
          <w:color w:val="000000"/>
          <w:sz w:val="24"/>
          <w:szCs w:val="24"/>
          <w:lang w:val="es-ES"/>
        </w:rPr>
      </w:pPr>
      <w:r w:rsidRPr="00817ED7">
        <w:rPr>
          <w:rFonts w:ascii="gobCL" w:eastAsia="ヒラギノ角ゴ Pro W3" w:hAnsi="gobCL"/>
          <w:color w:val="000000"/>
          <w:sz w:val="24"/>
          <w:szCs w:val="24"/>
          <w:u w:val="single"/>
          <w:lang w:val="es-ES"/>
        </w:rPr>
        <w:t>MINISTERIO DE LAS CULTURAS, LAS ARTES Y EL PATRIMONIO</w:t>
      </w:r>
      <w:r w:rsidRPr="00365F35">
        <w:rPr>
          <w:rFonts w:ascii="gobCL" w:eastAsia="ヒラギノ角ゴ Pro W3" w:hAnsi="gobCL"/>
          <w:color w:val="000000"/>
          <w:sz w:val="24"/>
          <w:szCs w:val="24"/>
          <w:lang w:val="es-ES"/>
        </w:rPr>
        <w:t xml:space="preserve">. </w:t>
      </w:r>
    </w:p>
    <w:p w:rsidR="00A83F05" w:rsidRPr="00365F35" w:rsidRDefault="00112527" w:rsidP="006E0848">
      <w:pPr>
        <w:spacing w:line="360" w:lineRule="auto"/>
        <w:jc w:val="both"/>
        <w:rPr>
          <w:rFonts w:ascii="gobCL" w:hAnsi="gobCL" w:cs="Arial"/>
          <w:sz w:val="24"/>
          <w:szCs w:val="24"/>
        </w:rPr>
      </w:pPr>
      <w:r w:rsidRPr="00365F35">
        <w:rPr>
          <w:rFonts w:ascii="gobCL" w:hAnsi="gobCL" w:cs="Arial"/>
          <w:sz w:val="24"/>
          <w:szCs w:val="24"/>
        </w:rPr>
        <w:t>Contribuir al desarrollo cultural, artístico y patrimonial armónico y equitativo del país en toda su diversidad, reconociendo y valorando las culturas de los pueblos indígenas, la diversidad geográfica, las identidades regionales y locales, con participación activa de la ciudadanía en las manifestaciones y servicios artísticos, culturales y patrimoniales.</w:t>
      </w:r>
    </w:p>
    <w:p w:rsidR="00112527" w:rsidRPr="00817ED7" w:rsidRDefault="00112527" w:rsidP="006E0848">
      <w:pPr>
        <w:spacing w:line="360" w:lineRule="auto"/>
        <w:rPr>
          <w:rFonts w:ascii="gobCL" w:hAnsi="gobCL" w:cs="Arial"/>
          <w:sz w:val="24"/>
          <w:szCs w:val="24"/>
          <w:u w:val="single"/>
        </w:rPr>
      </w:pPr>
      <w:r w:rsidRPr="00817ED7">
        <w:rPr>
          <w:rFonts w:ascii="gobCL" w:hAnsi="gobCL" w:cs="Arial"/>
          <w:sz w:val="24"/>
          <w:szCs w:val="24"/>
          <w:u w:val="single"/>
        </w:rPr>
        <w:t>SUBSECRETARIA DE LAS CULTURAS Y LAS ARTES.</w:t>
      </w:r>
    </w:p>
    <w:p w:rsidR="00112527" w:rsidRDefault="00112527" w:rsidP="006E0848">
      <w:pPr>
        <w:spacing w:line="360" w:lineRule="auto"/>
        <w:jc w:val="both"/>
        <w:rPr>
          <w:rFonts w:ascii="gobCL" w:hAnsi="gobCL" w:cstheme="minorHAnsi"/>
          <w:color w:val="000000"/>
          <w:sz w:val="24"/>
          <w:szCs w:val="24"/>
          <w:shd w:val="clear" w:color="auto" w:fill="FFFFFF"/>
        </w:rPr>
      </w:pPr>
      <w:r w:rsidRPr="00365F35">
        <w:rPr>
          <w:rFonts w:ascii="gobCL" w:hAnsi="gobCL" w:cstheme="minorHAnsi"/>
          <w:color w:val="000000"/>
          <w:sz w:val="24"/>
          <w:szCs w:val="24"/>
          <w:shd w:val="clear" w:color="auto" w:fill="FFFFFF"/>
        </w:rPr>
        <w:t>Promover el arte y las industrias culturales, las economías creativas y las culturas populares y comunitarias, mediante el diseño, ejecución y evaluación de políticas, planes, programas e iniciativas orientadas al desarrollo artístico y cultural del país, con activa participación de la ciudadanía, resguardando el acceso equitativo a manifestaciones y servicios culturales, impulsando el desarrollo de audiencias y respetando las identidades territoriales y la diversidad cultural.</w:t>
      </w:r>
    </w:p>
    <w:p w:rsidR="003163AF" w:rsidRPr="00365F35" w:rsidRDefault="003163AF" w:rsidP="003163AF">
      <w:pPr>
        <w:jc w:val="both"/>
        <w:rPr>
          <w:rFonts w:ascii="gobCL" w:hAnsi="gobCL" w:cstheme="minorHAnsi"/>
          <w:color w:val="000000"/>
          <w:sz w:val="24"/>
          <w:szCs w:val="24"/>
          <w:shd w:val="clear" w:color="auto" w:fill="FFFFFF"/>
        </w:rPr>
      </w:pPr>
    </w:p>
    <w:p w:rsidR="00612EA4" w:rsidRPr="003163AF" w:rsidRDefault="00612EA4" w:rsidP="003163AF">
      <w:pPr>
        <w:jc w:val="both"/>
        <w:rPr>
          <w:rFonts w:ascii="gobCL" w:eastAsia="Times New Roman" w:hAnsi="gobCL" w:cstheme="minorHAnsi"/>
          <w:b/>
          <w:bCs/>
          <w:sz w:val="28"/>
          <w:szCs w:val="24"/>
          <w:lang w:val="es-ES" w:eastAsia="es-ES"/>
        </w:rPr>
      </w:pPr>
      <w:r w:rsidRPr="003163AF">
        <w:rPr>
          <w:rFonts w:ascii="gobCL" w:eastAsia="Times New Roman" w:hAnsi="gobCL" w:cstheme="minorHAnsi"/>
          <w:b/>
          <w:bCs/>
          <w:sz w:val="28"/>
          <w:szCs w:val="24"/>
          <w:lang w:val="es-ES" w:eastAsia="es-ES"/>
        </w:rPr>
        <w:t xml:space="preserve">OBJETIVOS ESTRATÉGICOS  DE LA SUBSECRETARIA DE LAS  CULTURAS Y LAS ARTES </w:t>
      </w:r>
    </w:p>
    <w:p w:rsidR="00272E5F" w:rsidRPr="00817ED7" w:rsidRDefault="00272E5F" w:rsidP="006E084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obCL" w:hAnsi="gobCL" w:cstheme="minorHAnsi"/>
          <w:color w:val="000000"/>
          <w:sz w:val="24"/>
          <w:szCs w:val="24"/>
          <w:shd w:val="clear" w:color="auto" w:fill="FFFFFF"/>
        </w:rPr>
      </w:pPr>
      <w:r w:rsidRPr="00817ED7">
        <w:rPr>
          <w:rFonts w:ascii="gobCL" w:hAnsi="gobCL" w:cstheme="minorHAnsi"/>
          <w:color w:val="000000"/>
          <w:sz w:val="24"/>
          <w:szCs w:val="24"/>
          <w:shd w:val="clear" w:color="auto" w:fill="FFFFFF"/>
        </w:rPr>
        <w:t>Promover la participación cultural con pertinencia territorial, fomentando la formación de audiencias, mejorando la gestión de espacios culturales, reconociendo las expresiones culturales comunitarias y fortaleciendo el desarrollo de una cultura digital para el acceso y difusión de contenidos culturales de la ciudadanía.</w:t>
      </w:r>
    </w:p>
    <w:p w:rsidR="00272E5F" w:rsidRPr="00817ED7" w:rsidRDefault="00272E5F" w:rsidP="006E084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obCL" w:hAnsi="gobCL" w:cstheme="minorHAnsi"/>
          <w:color w:val="000000"/>
          <w:sz w:val="24"/>
          <w:szCs w:val="24"/>
          <w:shd w:val="clear" w:color="auto" w:fill="FFFFFF"/>
        </w:rPr>
      </w:pPr>
      <w:r w:rsidRPr="00817ED7">
        <w:rPr>
          <w:rFonts w:ascii="gobCL" w:hAnsi="gobCL" w:cstheme="minorHAnsi"/>
          <w:color w:val="000000"/>
          <w:sz w:val="24"/>
          <w:szCs w:val="24"/>
          <w:shd w:val="clear" w:color="auto" w:fill="FFFFFF"/>
        </w:rPr>
        <w:t>Impulsar la presencia de contenidos culturales y artísticos en los programas de estudio de instituciones de educación formal y no formal, en todas las etapas de la enseñanza, para niños, niñas y jóvenes; así como en espacios didácticos de creación artística y cultural, fortaleciendo las instituciones de Educación Artística en el país como factor social del desarrollo.</w:t>
      </w:r>
    </w:p>
    <w:p w:rsidR="00272E5F" w:rsidRPr="00817ED7" w:rsidRDefault="00272E5F" w:rsidP="006E084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obCL" w:hAnsi="gobCL" w:cstheme="minorHAnsi"/>
          <w:color w:val="000000"/>
          <w:sz w:val="24"/>
          <w:szCs w:val="24"/>
          <w:shd w:val="clear" w:color="auto" w:fill="FFFFFF"/>
        </w:rPr>
      </w:pPr>
      <w:r w:rsidRPr="00817ED7">
        <w:rPr>
          <w:rFonts w:ascii="gobCL" w:hAnsi="gobCL" w:cstheme="minorHAnsi"/>
          <w:color w:val="000000"/>
          <w:sz w:val="24"/>
          <w:szCs w:val="24"/>
          <w:shd w:val="clear" w:color="auto" w:fill="FFFFFF"/>
        </w:rPr>
        <w:t>Fomentar el desarrollo de la creación artística de los y las agentes culturales a nivel nacional e internacional, promoviendo su formación y perfeccionamiento y resguardando sus derechos asociados, con respeto a la libertad de creación y valoración social de sus obras.</w:t>
      </w:r>
    </w:p>
    <w:p w:rsidR="003163AF" w:rsidRDefault="003163AF">
      <w:pPr>
        <w:rPr>
          <w:rFonts w:ascii="gobCL" w:hAnsi="gobCL"/>
          <w:sz w:val="24"/>
          <w:szCs w:val="24"/>
          <w:lang w:val="es-ES"/>
        </w:rPr>
      </w:pPr>
      <w:r>
        <w:rPr>
          <w:rFonts w:ascii="gobCL" w:hAnsi="gobCL"/>
          <w:sz w:val="24"/>
          <w:szCs w:val="24"/>
          <w:lang w:val="es-ES"/>
        </w:rPr>
        <w:br w:type="page"/>
      </w:r>
    </w:p>
    <w:p w:rsidR="00FA4055" w:rsidRPr="00365F35" w:rsidRDefault="00FA4055" w:rsidP="00365F35">
      <w:pPr>
        <w:rPr>
          <w:rFonts w:ascii="gobCL" w:hAnsi="gobCL"/>
          <w:sz w:val="24"/>
          <w:szCs w:val="24"/>
          <w:lang w:val="es-ES"/>
        </w:rPr>
      </w:pPr>
    </w:p>
    <w:p w:rsidR="006E0848" w:rsidRDefault="006E0848" w:rsidP="00365F35">
      <w:pPr>
        <w:rPr>
          <w:rFonts w:ascii="gobCL" w:hAnsi="gobCL"/>
          <w:b/>
          <w:sz w:val="28"/>
          <w:szCs w:val="28"/>
        </w:rPr>
      </w:pPr>
    </w:p>
    <w:p w:rsidR="006E0848" w:rsidRPr="006E0848" w:rsidRDefault="006E0848" w:rsidP="006E0848">
      <w:pPr>
        <w:spacing w:after="0" w:line="240" w:lineRule="auto"/>
        <w:jc w:val="center"/>
        <w:rPr>
          <w:rFonts w:ascii="gobCL" w:eastAsia="Times New Roman" w:hAnsi="gobCL" w:cs="Times New Roman"/>
          <w:b/>
          <w:noProof/>
          <w:sz w:val="28"/>
          <w:szCs w:val="24"/>
          <w:lang w:eastAsia="es-CL"/>
        </w:rPr>
      </w:pPr>
      <w:r w:rsidRPr="006E0848">
        <w:rPr>
          <w:rFonts w:ascii="gobCL" w:eastAsia="Times New Roman" w:hAnsi="gobCL" w:cs="Times New Roman"/>
          <w:b/>
          <w:noProof/>
          <w:sz w:val="28"/>
          <w:szCs w:val="24"/>
          <w:lang w:eastAsia="es-CL"/>
        </w:rPr>
        <w:t>PROGRAMAS/INICIATIVAS SUBSECRETARÍA DE LAS CULTURAS Y LAS ARTES</w:t>
      </w:r>
    </w:p>
    <w:p w:rsidR="006E0848" w:rsidRPr="006E0848" w:rsidRDefault="006E0848" w:rsidP="006E0848">
      <w:pPr>
        <w:spacing w:after="0" w:line="240" w:lineRule="auto"/>
        <w:jc w:val="both"/>
        <w:rPr>
          <w:rFonts w:ascii="Calibri Light" w:eastAsia="Times New Roman" w:hAnsi="Calibri Light" w:cs="Times New Roman"/>
          <w:b/>
          <w:noProof/>
          <w:color w:val="244061" w:themeColor="accent1" w:themeShade="80"/>
          <w:sz w:val="24"/>
          <w:szCs w:val="24"/>
          <w:lang w:eastAsia="es-CL"/>
        </w:rPr>
      </w:pPr>
    </w:p>
    <w:tbl>
      <w:tblPr>
        <w:tblStyle w:val="Cuadrculadetablaclara"/>
        <w:tblW w:w="5136" w:type="pct"/>
        <w:tblLayout w:type="fixed"/>
        <w:tblLook w:val="04A0" w:firstRow="1" w:lastRow="0" w:firstColumn="1" w:lastColumn="0" w:noHBand="0" w:noVBand="1"/>
      </w:tblPr>
      <w:tblGrid>
        <w:gridCol w:w="1839"/>
        <w:gridCol w:w="2834"/>
        <w:gridCol w:w="3358"/>
        <w:gridCol w:w="2313"/>
      </w:tblGrid>
      <w:tr w:rsidR="006E0848" w:rsidRPr="006E0848" w:rsidTr="006E0848">
        <w:trPr>
          <w:trHeight w:val="381"/>
        </w:trPr>
        <w:tc>
          <w:tcPr>
            <w:tcW w:w="889" w:type="pct"/>
            <w:vAlign w:val="center"/>
            <w:hideMark/>
          </w:tcPr>
          <w:p w:rsidR="006E0848" w:rsidRDefault="006E0848" w:rsidP="006E0848">
            <w:pPr>
              <w:spacing w:line="276" w:lineRule="auto"/>
              <w:jc w:val="center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  <w:p w:rsidR="006E0848" w:rsidRDefault="006E0848" w:rsidP="006E0848">
            <w:pPr>
              <w:spacing w:line="276" w:lineRule="auto"/>
              <w:jc w:val="center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  <w:t>PROGRAMAS</w:t>
            </w:r>
          </w:p>
          <w:p w:rsidR="006E0848" w:rsidRPr="006E0848" w:rsidRDefault="006E0848" w:rsidP="006E0848">
            <w:pPr>
              <w:spacing w:line="276" w:lineRule="auto"/>
              <w:jc w:val="center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  <w:t>INICIATIVAS</w:t>
            </w:r>
          </w:p>
        </w:tc>
        <w:tc>
          <w:tcPr>
            <w:tcW w:w="1370" w:type="pct"/>
            <w:vAlign w:val="center"/>
          </w:tcPr>
          <w:p w:rsidR="006E0848" w:rsidRPr="006E0848" w:rsidRDefault="006E0848" w:rsidP="006E0848">
            <w:pPr>
              <w:spacing w:line="276" w:lineRule="auto"/>
              <w:jc w:val="center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  <w:p w:rsidR="006E0848" w:rsidRPr="006E0848" w:rsidRDefault="006E0848" w:rsidP="006E0848">
            <w:pPr>
              <w:spacing w:line="276" w:lineRule="auto"/>
              <w:jc w:val="center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  <w:t>OBJETIVO</w:t>
            </w:r>
          </w:p>
        </w:tc>
        <w:tc>
          <w:tcPr>
            <w:tcW w:w="1623" w:type="pct"/>
            <w:vAlign w:val="center"/>
          </w:tcPr>
          <w:p w:rsidR="006E0848" w:rsidRPr="006E0848" w:rsidRDefault="006E0848" w:rsidP="006E0848">
            <w:pPr>
              <w:spacing w:line="276" w:lineRule="auto"/>
              <w:jc w:val="center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  <w:p w:rsidR="006E0848" w:rsidRPr="006E0848" w:rsidRDefault="006E0848" w:rsidP="006E0848">
            <w:pPr>
              <w:spacing w:line="276" w:lineRule="auto"/>
              <w:jc w:val="center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  <w:t>OBJETIVO ESTRATÉGICO</w:t>
            </w:r>
          </w:p>
        </w:tc>
        <w:tc>
          <w:tcPr>
            <w:tcW w:w="1118" w:type="pct"/>
            <w:vAlign w:val="center"/>
            <w:hideMark/>
          </w:tcPr>
          <w:p w:rsidR="006E0848" w:rsidRPr="006E0848" w:rsidRDefault="006E0848" w:rsidP="006E0848">
            <w:pPr>
              <w:spacing w:line="276" w:lineRule="auto"/>
              <w:jc w:val="center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  <w:t>PRODUCTOS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 w:val="restart"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  <w:t>1. Programa Nacional de Desarrollo Artístico en la Educación (PNDA)</w:t>
            </w:r>
          </w:p>
        </w:tc>
        <w:tc>
          <w:tcPr>
            <w:tcW w:w="1370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Instituciones que desarrollan programas de formación artística, tanto en el sistema formal como no formal, aumentan su oferta programática en arte y cultura dirigida a niños(as) y jóvenes en edad escolar.</w:t>
            </w:r>
          </w:p>
        </w:tc>
        <w:tc>
          <w:tcPr>
            <w:tcW w:w="1623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shd w:val="clear" w:color="auto" w:fill="FFFFFF"/>
              </w:rPr>
              <w:t>Impulsar la presencia de contenidos culturales y artísticos en los programas de estudio de instituciones de educación formal y no formal, en todas las etapas de la enseñanza, para niños, niñas y jóvenes; así como en espacios didácticos de creación artística y cultural, fortaleciendo las instituciones de Educación Artística en el país como factor social del desarrollo.</w:t>
            </w: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Asociatividad y redes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Material didáctico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Capacitaciones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Fondo de Fomento al Arte en Educación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Semana de la Educación Artística (SEA)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 w:val="restart"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  <w:t>2. Fomento del Arte en la Educación (ACCIONA)</w:t>
            </w:r>
          </w:p>
        </w:tc>
        <w:tc>
          <w:tcPr>
            <w:tcW w:w="1370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Aumentar el acceso de niños, niñas y jóvenes en procesos formativos del ámbito de las artes y las culturas.</w:t>
            </w:r>
          </w:p>
        </w:tc>
        <w:tc>
          <w:tcPr>
            <w:tcW w:w="1623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shd w:val="clear" w:color="auto" w:fill="FFFFFF"/>
              </w:rPr>
              <w:t>Impulsar la presencia de contenidos culturales y artísticos en los programas de estudio de instituciones de educación formal y no formal, en todas las etapas de la enseñanza, para niños, niñas y jóvenes; así como en espacios didácticos de creación artística y cultural, fortaleciendo las instituciones de Educación Artística en el país como factor social del desarrollo.</w:t>
            </w:r>
          </w:p>
        </w:tc>
        <w:tc>
          <w:tcPr>
            <w:tcW w:w="1118" w:type="pc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="Times New Roman"/>
                <w:sz w:val="16"/>
                <w:szCs w:val="20"/>
              </w:rPr>
            </w:pPr>
            <w:r w:rsidRPr="006E0848">
              <w:rPr>
                <w:rFonts w:ascii="gobCL" w:eastAsia="Times New Roman" w:hAnsi="gobCL" w:cs="Times New Roman"/>
                <w:sz w:val="16"/>
                <w:szCs w:val="20"/>
              </w:rPr>
              <w:t xml:space="preserve">Proyectos de mediación en artes y/o cultura para educación </w:t>
            </w:r>
            <w:proofErr w:type="spellStart"/>
            <w:r w:rsidRPr="006E0848">
              <w:rPr>
                <w:rFonts w:ascii="gobCL" w:eastAsia="Times New Roman" w:hAnsi="gobCL" w:cs="Times New Roman"/>
                <w:sz w:val="16"/>
                <w:szCs w:val="20"/>
              </w:rPr>
              <w:t>parvularia</w:t>
            </w:r>
            <w:proofErr w:type="spellEnd"/>
            <w:r w:rsidRPr="006E0848">
              <w:rPr>
                <w:rFonts w:ascii="gobCL" w:eastAsia="Times New Roman" w:hAnsi="gobCL" w:cs="Times New Roman"/>
                <w:sz w:val="16"/>
                <w:szCs w:val="20"/>
              </w:rPr>
              <w:t>.</w:t>
            </w:r>
          </w:p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="Times New Roman"/>
                <w:sz w:val="16"/>
                <w:szCs w:val="20"/>
              </w:rPr>
            </w:pP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="Times New Roman"/>
                <w:sz w:val="16"/>
                <w:szCs w:val="20"/>
              </w:rPr>
            </w:pPr>
            <w:r w:rsidRPr="006E0848">
              <w:rPr>
                <w:rFonts w:ascii="gobCL" w:eastAsia="Times New Roman" w:hAnsi="gobCL" w:cs="Times New Roman"/>
                <w:sz w:val="16"/>
                <w:szCs w:val="20"/>
              </w:rPr>
              <w:t>Proyectos artísticos  y/o  culturales para establecimientos educacionales</w:t>
            </w:r>
          </w:p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="Times New Roman"/>
                <w:sz w:val="16"/>
                <w:szCs w:val="20"/>
              </w:rPr>
            </w:pP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="Times New Roman"/>
                <w:sz w:val="16"/>
                <w:szCs w:val="20"/>
              </w:rPr>
            </w:pPr>
            <w:r w:rsidRPr="006E0848">
              <w:rPr>
                <w:rFonts w:ascii="gobCL" w:eastAsia="Times New Roman" w:hAnsi="gobCL" w:cs="Times New Roman"/>
                <w:sz w:val="16"/>
                <w:szCs w:val="20"/>
              </w:rPr>
              <w:t>Mediación artística y/o cultural con espacios culturales.</w:t>
            </w:r>
          </w:p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="Times New Roman"/>
                <w:sz w:val="16"/>
                <w:szCs w:val="20"/>
              </w:rPr>
            </w:pP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="Times New Roman"/>
                <w:sz w:val="16"/>
                <w:szCs w:val="20"/>
              </w:rPr>
            </w:pPr>
            <w:r w:rsidRPr="006E0848">
              <w:rPr>
                <w:rFonts w:ascii="gobCL" w:eastAsia="Times New Roman" w:hAnsi="gobCL" w:cs="Times New Roman"/>
                <w:sz w:val="16"/>
                <w:szCs w:val="20"/>
              </w:rPr>
              <w:t>Capacitación para Educadoras, Docentes y Artistas – educadores.</w:t>
            </w:r>
          </w:p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="Times New Roman"/>
                <w:sz w:val="16"/>
                <w:szCs w:val="20"/>
              </w:rPr>
            </w:pP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="Times New Roman"/>
                <w:sz w:val="16"/>
                <w:szCs w:val="20"/>
              </w:rPr>
            </w:pPr>
            <w:r w:rsidRPr="006E0848">
              <w:rPr>
                <w:rFonts w:ascii="gobCL" w:eastAsia="Times New Roman" w:hAnsi="gobCL" w:cs="Times New Roman"/>
                <w:sz w:val="16"/>
                <w:szCs w:val="20"/>
              </w:rPr>
              <w:t>Asistencia técnica Pedagógica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 w:val="restart"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  <w:t>3. Centros de Creación y Desarrollo Artístico para niños, niñas y jóvenes (CECREA)</w:t>
            </w:r>
          </w:p>
        </w:tc>
        <w:tc>
          <w:tcPr>
            <w:tcW w:w="1370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Aumentar el acceso a procesos de creación y desarrollo de expresiones culturales de niños, niñas y jóvenes, entre 7 y 19 años del país.</w:t>
            </w:r>
          </w:p>
        </w:tc>
        <w:tc>
          <w:tcPr>
            <w:tcW w:w="1623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shd w:val="clear" w:color="auto" w:fill="FFFFFF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shd w:val="clear" w:color="auto" w:fill="FFFFFF"/>
              </w:rPr>
              <w:t>Impulsar la presencia de contenidos culturales y artísticos en los programas de estudio de instituciones de educación formal y no formal, en todas las etapas de la enseñanza, para niños, niñas y jóvenes; así como en espacios didácticos de creación artística y cultural, fortaleciendo las instituciones de Educación Artística en el país como factor social del desarrollo.</w:t>
            </w:r>
          </w:p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shd w:val="clear" w:color="auto" w:fill="FFFFFF"/>
              </w:rPr>
            </w:pPr>
          </w:p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Experiencias Pedagógicas para la creación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Redes y Comunidades de aprendizaje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Espacios Didácticos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 w:val="restart"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  <w:t>4. Fortalecimiento de la Identidad Cultural Regional (Ex Acceso Regional).</w:t>
            </w:r>
          </w:p>
        </w:tc>
        <w:tc>
          <w:tcPr>
            <w:tcW w:w="1370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Aumentar el acceso a bienes y servicios artísticos y culturales en comunas distintas a las capitales regionales.</w:t>
            </w:r>
          </w:p>
        </w:tc>
        <w:tc>
          <w:tcPr>
            <w:tcW w:w="1623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shd w:val="clear" w:color="auto" w:fill="FFFFFF"/>
              </w:rPr>
              <w:t>Promover la participación cultural con pertinencia territorial, fomentando la formación de audiencias, mejorando la gestión de espacios culturales, reconociendo las expresiones culturales comunitarias y fortaleciendo el desarrollo de una cultura digital para el acceso y difusión de contenidos culturales de la ciudadanía.</w:t>
            </w: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Iniciativas culturales con Identidad Cultural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Planificación Cultural Regional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Premios Regionales de Cultura, Arte y Patrimonio</w:t>
            </w:r>
          </w:p>
        </w:tc>
      </w:tr>
    </w:tbl>
    <w:p w:rsidR="006E0848" w:rsidRDefault="006E0848"/>
    <w:tbl>
      <w:tblPr>
        <w:tblStyle w:val="Cuadrculadetablaclara"/>
        <w:tblW w:w="5136" w:type="pct"/>
        <w:tblLayout w:type="fixed"/>
        <w:tblLook w:val="04A0" w:firstRow="1" w:lastRow="0" w:firstColumn="1" w:lastColumn="0" w:noHBand="0" w:noVBand="1"/>
      </w:tblPr>
      <w:tblGrid>
        <w:gridCol w:w="1839"/>
        <w:gridCol w:w="2834"/>
        <w:gridCol w:w="3358"/>
        <w:gridCol w:w="2313"/>
      </w:tblGrid>
      <w:tr w:rsidR="006E0848" w:rsidRPr="006E0848" w:rsidTr="006E0848">
        <w:trPr>
          <w:trHeight w:val="390"/>
        </w:trPr>
        <w:tc>
          <w:tcPr>
            <w:tcW w:w="889" w:type="pct"/>
            <w:vMerge w:val="restart"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  <w:t>5. Programa Red Cultura</w:t>
            </w:r>
          </w:p>
        </w:tc>
        <w:tc>
          <w:tcPr>
            <w:tcW w:w="1370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Aumentar la planificación cultural con participación local en las comunas del país que cuentan con municipios.</w:t>
            </w:r>
          </w:p>
        </w:tc>
        <w:tc>
          <w:tcPr>
            <w:tcW w:w="1623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shd w:val="clear" w:color="auto" w:fill="FFFFFF"/>
              </w:rPr>
              <w:t>Promover la participación cultural con pertinencia territorial, fomentando la formación de audiencias, mejorando la gestión de espacios culturales, reconociendo las expresiones culturales comunitarias y fortaleciendo el desarrollo de una cultura digital para el acceso y difusión de contenidos culturales de la ciudadanía.</w:t>
            </w: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Planificación cultural local participativa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Plataforma de Apoyo para Organizaciones Culturales Comunitarias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Prácticas colaborativas con territorios desde el Arte Contemporáneo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 w:val="restart"/>
            <w:noWrap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  <w:t>6. Conjuntos Artísticos Estables</w:t>
            </w:r>
          </w:p>
        </w:tc>
        <w:tc>
          <w:tcPr>
            <w:tcW w:w="1370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Aumentar el acceso de la población vulnerable y/o en aislamiento territorial a expresiones artísticas de excelencia en danza folclórica, música folclórica y música docta.</w:t>
            </w:r>
          </w:p>
        </w:tc>
        <w:tc>
          <w:tcPr>
            <w:tcW w:w="1623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shd w:val="clear" w:color="auto" w:fill="FFFFFF"/>
              </w:rPr>
              <w:t>Promover la participación cultural con pertinencia territorial, fomentando la formación de audiencias, mejorando la gestión de espacios culturales, reconociendo las expresiones culturales comunitarias y fortaleciendo el desarrollo de una cultura digital para el acceso y difusión de contenidos culturales de la ciudadanía.</w:t>
            </w: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Conciertos Orquesta de Cámara de Chile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Presentaciones Ballet Folklórico Nacional BAFONA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Formación de Públicos y mediación artística cultural</w:t>
            </w:r>
          </w:p>
        </w:tc>
      </w:tr>
      <w:tr w:rsidR="006E0848" w:rsidRPr="006E0848" w:rsidTr="006E0848">
        <w:trPr>
          <w:trHeight w:val="486"/>
        </w:trPr>
        <w:tc>
          <w:tcPr>
            <w:tcW w:w="889" w:type="pct"/>
            <w:vMerge w:val="restart"/>
            <w:noWrap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  <w:t xml:space="preserve">7. Interculturalidad e Inclusión Migrantes </w:t>
            </w:r>
          </w:p>
        </w:tc>
        <w:tc>
          <w:tcPr>
            <w:tcW w:w="1370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Contribuir a la participación de las personas migrantes en la vida cultural de sus comunidades.</w:t>
            </w:r>
          </w:p>
        </w:tc>
        <w:tc>
          <w:tcPr>
            <w:tcW w:w="1623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shd w:val="clear" w:color="auto" w:fill="FFFFFF"/>
              </w:rPr>
              <w:t>Promover la participación cultural con pertinencia territorial, fomentando la formación de audiencias, mejorando la gestión de espacios culturales, reconociendo las expresiones culturales comunitarias y fortaleciendo el desarrollo de una cultura digital para el acceso y difusión de contenidos culturales de la ciudadanía.</w:t>
            </w: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Acceso a la interculturalidad</w:t>
            </w:r>
          </w:p>
        </w:tc>
      </w:tr>
      <w:tr w:rsidR="006E0848" w:rsidRPr="006E0848" w:rsidTr="006E0848">
        <w:trPr>
          <w:trHeight w:val="369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Fomento de la interculturalidad</w:t>
            </w:r>
          </w:p>
        </w:tc>
      </w:tr>
      <w:tr w:rsidR="006E0848" w:rsidRPr="006E0848" w:rsidTr="006E0848">
        <w:trPr>
          <w:trHeight w:val="94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Capacidades para la interculturalidad</w:t>
            </w:r>
          </w:p>
        </w:tc>
      </w:tr>
      <w:tr w:rsidR="006E0848" w:rsidRPr="006E0848" w:rsidTr="006E0848">
        <w:trPr>
          <w:trHeight w:val="897"/>
        </w:trPr>
        <w:tc>
          <w:tcPr>
            <w:tcW w:w="889" w:type="pct"/>
            <w:vMerge w:val="restart"/>
            <w:noWrap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  <w:t xml:space="preserve">8. Derechos Humanos, Memoria y Cultura </w:t>
            </w:r>
          </w:p>
        </w:tc>
        <w:tc>
          <w:tcPr>
            <w:tcW w:w="1370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Contribuir a la apropiación por parte de la comunidad de los espacios de memoria gestionados por las agrupaciones de derechos humanos ligadas a los crímenes de lesa humanidad ocurridos en la dictadura militar.</w:t>
            </w:r>
          </w:p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shd w:val="clear" w:color="auto" w:fill="FFFFFF"/>
              </w:rPr>
              <w:t>Promover la participación cultural con pertinencia territorial, fomentando la formación de audiencias, mejorando la gestión de espacios culturales, reconociendo las expresiones culturales comunitarias y fortaleciendo el desarrollo de una cultura digital para el acceso y difusión de contenidos culturales de la ciudadanía.</w:t>
            </w: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Formación en procesos de gestión cultural a las agrupaciones de derechos humanos que administran espacios de memoria</w:t>
            </w:r>
          </w:p>
        </w:tc>
      </w:tr>
      <w:tr w:rsidR="006E0848" w:rsidRPr="006E0848" w:rsidTr="006E0848">
        <w:trPr>
          <w:trHeight w:val="93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Implementación de proyectos artísticos culturales en los espacios de memoria</w:t>
            </w:r>
          </w:p>
        </w:tc>
      </w:tr>
      <w:tr w:rsidR="006E0848" w:rsidRPr="006E0848" w:rsidTr="006E0848">
        <w:trPr>
          <w:trHeight w:val="494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Difusión de los espacios de memoria</w:t>
            </w:r>
          </w:p>
        </w:tc>
      </w:tr>
      <w:tr w:rsidR="006E0848" w:rsidRPr="006E0848" w:rsidTr="006E0848">
        <w:trPr>
          <w:trHeight w:val="1413"/>
        </w:trPr>
        <w:tc>
          <w:tcPr>
            <w:tcW w:w="889" w:type="pct"/>
            <w:vMerge w:val="restart"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  <w:t>9. Centro de Extensión (CENTEX)</w:t>
            </w:r>
          </w:p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Facilitar el acceso y participación cultural de la ciudadanía a una programación artística y cultural diversa e intercultural, desde editoriales programáticas dispuestas por el Ministerio de las Culturas, las Artes y el Patrimonio, y las Políticas Públicas Culturales vigentes, relevando la memoria institucional.</w:t>
            </w:r>
          </w:p>
        </w:tc>
        <w:tc>
          <w:tcPr>
            <w:tcW w:w="1623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shd w:val="clear" w:color="auto" w:fill="FFFFFF"/>
              </w:rPr>
              <w:t>Promover la participación cultural con pertinencia territorial, fomentando la formación de audiencias, mejorando la gestión de espacios culturales, reconociendo las expresiones culturales comunitarias y fortaleciendo el desarrollo de una cultura digital para el acceso y difusión de contenidos culturales de la ciudadanía.</w:t>
            </w: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Extensión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Repositorio Digital</w:t>
            </w:r>
          </w:p>
        </w:tc>
      </w:tr>
      <w:tr w:rsidR="006E0848" w:rsidRPr="006E0848" w:rsidTr="006E0848">
        <w:trPr>
          <w:trHeight w:val="1076"/>
        </w:trPr>
        <w:tc>
          <w:tcPr>
            <w:tcW w:w="889" w:type="pct"/>
            <w:vMerge w:val="restart"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  <w:t xml:space="preserve">10. Onda Media </w:t>
            </w:r>
          </w:p>
        </w:tc>
        <w:tc>
          <w:tcPr>
            <w:tcW w:w="1370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Proporcionar a la ciudadanía un medio de difusión y acceso a la producción cinematográfica nacional, junto a una diversidad de contenidos audiovisuales de cultura, por medio de tecnologías digitales.</w:t>
            </w:r>
          </w:p>
        </w:tc>
        <w:tc>
          <w:tcPr>
            <w:tcW w:w="1623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shd w:val="clear" w:color="auto" w:fill="FFFFFF"/>
              </w:rPr>
              <w:t>Promover la participación cultural con pertinencia territorial, fomentando la formación de audiencias, mejorando la gestión de espacios culturales, reconociendo las expresiones culturales comunitarias y fortaleciendo el desarrollo de una cultura digital para el acceso y difusión de contenidos culturales de la ciudadanía.</w:t>
            </w: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Acceso a Contenidos audiovisuales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Difusión</w:t>
            </w:r>
          </w:p>
        </w:tc>
      </w:tr>
      <w:tr w:rsidR="006E0848" w:rsidRPr="006E0848" w:rsidTr="006E0848">
        <w:trPr>
          <w:trHeight w:val="472"/>
        </w:trPr>
        <w:tc>
          <w:tcPr>
            <w:tcW w:w="889" w:type="pct"/>
            <w:vMerge w:val="restart"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  <w:t>11. Fondo de Fomento Cultural y las Artes - Fondart</w:t>
            </w:r>
          </w:p>
        </w:tc>
        <w:tc>
          <w:tcPr>
            <w:tcW w:w="1370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Incrementar la oferta de bienes y servicios artísticos y culturales de calidad, producidos por artistas y agentes culturales de las áreas que no constituyen industria.</w:t>
            </w:r>
          </w:p>
        </w:tc>
        <w:tc>
          <w:tcPr>
            <w:tcW w:w="1623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shd w:val="clear" w:color="auto" w:fill="FFFFFF"/>
              </w:rPr>
              <w:t>Fomentar el desarrollo de la creación artística de los y las agentes culturales a nivel nacional e internacional, promoviendo su formación y perfeccionamiento y resguardando sus derechos asociados, con respeto a la libertad de creación y valoración social de sus obras</w:t>
            </w: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Fondart Nacional</w:t>
            </w:r>
          </w:p>
        </w:tc>
      </w:tr>
      <w:tr w:rsidR="006E0848" w:rsidRPr="006E0848" w:rsidTr="006E0848">
        <w:trPr>
          <w:trHeight w:val="633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Fondart Regional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Programa Difusión y Estudios</w:t>
            </w:r>
          </w:p>
        </w:tc>
      </w:tr>
    </w:tbl>
    <w:p w:rsidR="006E0848" w:rsidRDefault="006E0848"/>
    <w:p w:rsidR="006E0848" w:rsidRDefault="006E0848"/>
    <w:p w:rsidR="006E0848" w:rsidRDefault="006E0848"/>
    <w:p w:rsidR="006E0848" w:rsidRDefault="006E0848"/>
    <w:tbl>
      <w:tblPr>
        <w:tblStyle w:val="Cuadrculadetablaclara"/>
        <w:tblW w:w="5136" w:type="pct"/>
        <w:tblLayout w:type="fixed"/>
        <w:tblLook w:val="04A0" w:firstRow="1" w:lastRow="0" w:firstColumn="1" w:lastColumn="0" w:noHBand="0" w:noVBand="1"/>
      </w:tblPr>
      <w:tblGrid>
        <w:gridCol w:w="1839"/>
        <w:gridCol w:w="2834"/>
        <w:gridCol w:w="3358"/>
        <w:gridCol w:w="2313"/>
      </w:tblGrid>
      <w:tr w:rsidR="006E0848" w:rsidRPr="006E0848" w:rsidTr="006E0848">
        <w:trPr>
          <w:trHeight w:val="390"/>
        </w:trPr>
        <w:tc>
          <w:tcPr>
            <w:tcW w:w="889" w:type="pct"/>
            <w:vMerge w:val="restart"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  <w:t xml:space="preserve"> 12. Fomento del Libro </w:t>
            </w:r>
          </w:p>
        </w:tc>
        <w:tc>
          <w:tcPr>
            <w:tcW w:w="1370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</w:rPr>
              <w:t>Aumentar la profesionalización de los agentes del sector del libro y la lectura</w:t>
            </w:r>
          </w:p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shd w:val="clear" w:color="auto" w:fill="FFFFFF"/>
              </w:rPr>
              <w:t>Fomentar el desarrollo de la creación artística de los y las agentes culturales a nivel nacional e internacional, promoviendo su formación y perfeccionamiento y resguardando sus derechos asociados, con respeto a la libertad de creación y valoración social de sus obras</w:t>
            </w: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Formación especializada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Investigación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Creación y Producción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Circulación y difusión del libro y autores/as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Exportación del libro y autores/as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Promoción de la industria editorial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 w:val="restart"/>
            <w:noWrap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  <w:t>13. Fomento de la Música Nacional</w:t>
            </w:r>
          </w:p>
        </w:tc>
        <w:tc>
          <w:tcPr>
            <w:tcW w:w="1370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</w:rPr>
              <w:t>Aumentar la profesionalización de los agentes culturales vinculados al campo de la música nacional</w:t>
            </w:r>
          </w:p>
          <w:p w:rsidR="006E0848" w:rsidRPr="006E0848" w:rsidRDefault="006E0848" w:rsidP="006E0848">
            <w:pPr>
              <w:spacing w:line="276" w:lineRule="auto"/>
              <w:ind w:firstLine="708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shd w:val="clear" w:color="auto" w:fill="FFFFFF"/>
              </w:rPr>
              <w:t>Fomentar el desarrollo de la creación artística de los y las agentes culturales a nivel nacional e internacional, promoviendo su formación y perfeccionamiento y resguardando sus derechos asociados, con respeto a la libertad de creación y valoración social de sus obras</w:t>
            </w: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Formación e Investigación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Creación y Producción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Difusión y Circulación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Promoción de la Industria</w:t>
            </w:r>
          </w:p>
        </w:tc>
      </w:tr>
      <w:tr w:rsidR="006E0848" w:rsidRPr="006E0848" w:rsidTr="006E0848">
        <w:trPr>
          <w:trHeight w:val="866"/>
        </w:trPr>
        <w:tc>
          <w:tcPr>
            <w:tcW w:w="889" w:type="pct"/>
            <w:vMerge w:val="restart"/>
            <w:noWrap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  <w:t>14. Fondo de Fomento Audiovisual</w:t>
            </w:r>
          </w:p>
        </w:tc>
        <w:tc>
          <w:tcPr>
            <w:tcW w:w="1370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Incrementar la oferta de bienes y servicios artísticos y culturales de calidad, producidos por artistas y agentes culturales del área audiovisual, a través del financiamiento de proyectos.</w:t>
            </w:r>
          </w:p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shd w:val="clear" w:color="auto" w:fill="FFFFFF"/>
              </w:rPr>
              <w:t>Fomentar el desarrollo de la creación artística de los y las agentes culturales a nivel nacional e internacional, promoviendo su formación y perfeccionamiento y resguardando sus derechos asociados, con respeto a la libertad de creación y valoración social de sus obras</w:t>
            </w: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Concurso de proyectos</w:t>
            </w:r>
          </w:p>
        </w:tc>
      </w:tr>
      <w:tr w:rsidR="006E0848" w:rsidRPr="006E0848" w:rsidTr="006E0848">
        <w:trPr>
          <w:trHeight w:val="976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Programa de Desarrollo (Asignación Directa)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Programas Especiales  (letra m)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 w:val="restart"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  <w:t>15. Fomento y Desarrollo de Artes de la Visualidad</w:t>
            </w:r>
          </w:p>
        </w:tc>
        <w:tc>
          <w:tcPr>
            <w:tcW w:w="1370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</w:rPr>
              <w:t>Aumentar la oferta de bienes y servicios culturales producidos por agentes culturales de las artes de la visualidad.</w:t>
            </w:r>
          </w:p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shd w:val="clear" w:color="auto" w:fill="FFFFFF"/>
              </w:rPr>
              <w:t>Fomentar el desarrollo de la creación artística de los y las agentes culturales a nivel nacional e internacional, promoviendo su formación y perfeccionamiento y resguardando sus derechos asociados, con respeto a la libertad de creación y valoración social de sus obras</w:t>
            </w: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Formación especializada en las Artes de la Visualidad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Creación y Producción en artes de la visualidad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Exhibición y circulación nacional e internacional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Difusión de artes de la visualidad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Puesta en valor de colecciones y archivos de arte contemporáneo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Mediación artística y públicos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 w:val="restart"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  <w:t>16. Fomento y Desarrollo de las Artes Escénicas</w:t>
            </w:r>
          </w:p>
        </w:tc>
        <w:tc>
          <w:tcPr>
            <w:tcW w:w="1370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</w:rPr>
              <w:t>Aumentar la oferta de bienes y servicios culturales generada por agentes del campo de las artes escénicas</w:t>
            </w:r>
          </w:p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shd w:val="clear" w:color="auto" w:fill="FFFFFF"/>
              </w:rPr>
              <w:t>Fomentar el desarrollo de la creación artística de los y las agentes culturales a nivel nacional e internacional, promoviendo su formación y perfeccionamiento y resguardando sus derechos asociados, con respeto a la libertad de creación y valoración social de sus obras</w:t>
            </w: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Formación especializada continua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Creación y producción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Exhibición y circulación de obras escénicas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Difusión y mediación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 xml:space="preserve"> Puesta en valor y resguardo del patrimonio artístico</w:t>
            </w:r>
          </w:p>
        </w:tc>
      </w:tr>
      <w:tr w:rsidR="006E0848" w:rsidRPr="006E0848" w:rsidTr="006E0848">
        <w:trPr>
          <w:trHeight w:val="209"/>
        </w:trPr>
        <w:tc>
          <w:tcPr>
            <w:tcW w:w="889" w:type="pct"/>
            <w:vMerge w:val="restart"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  <w:t>17. Área Artística Diseño</w:t>
            </w:r>
          </w:p>
        </w:tc>
        <w:tc>
          <w:tcPr>
            <w:tcW w:w="1370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</w:rPr>
              <w:t>Creadores y profesionales vinculados al diseño aumentan su participación en las distintas etapas de la cadena de valor de la disciplina para disminuir la brecha de competencias, visibilización y posicionamiento estratégico de la disciplina, contribuyendo al desarrollo local del país.</w:t>
            </w:r>
          </w:p>
        </w:tc>
        <w:tc>
          <w:tcPr>
            <w:tcW w:w="1623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shd w:val="clear" w:color="auto" w:fill="FFFFFF"/>
              </w:rPr>
              <w:t>Fomentar el desarrollo de la creación artística de los y las agentes culturales a nivel nacional e internacional, promoviendo su formación y perfeccionamiento y resguardando sus derechos asociados, con respeto a la libertad de creación y valoración social de sus obras</w:t>
            </w: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Profesionalización</w:t>
            </w:r>
          </w:p>
        </w:tc>
      </w:tr>
      <w:tr w:rsidR="006E0848" w:rsidRPr="006E0848" w:rsidTr="006E0848">
        <w:trPr>
          <w:trHeight w:val="255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Internacionalización</w:t>
            </w:r>
          </w:p>
        </w:tc>
      </w:tr>
      <w:tr w:rsidR="006E0848" w:rsidRPr="006E0848" w:rsidTr="006E0848">
        <w:trPr>
          <w:trHeight w:val="401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Difusión</w:t>
            </w:r>
          </w:p>
        </w:tc>
      </w:tr>
      <w:tr w:rsidR="006E0848" w:rsidRPr="006E0848" w:rsidTr="006E0848">
        <w:trPr>
          <w:trHeight w:val="1285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Servicios Creativos</w:t>
            </w:r>
          </w:p>
        </w:tc>
      </w:tr>
    </w:tbl>
    <w:p w:rsidR="006E0848" w:rsidRDefault="006E0848"/>
    <w:p w:rsidR="006E0848" w:rsidRDefault="006E0848"/>
    <w:p w:rsidR="006E0848" w:rsidRDefault="006E0848"/>
    <w:p w:rsidR="006E0848" w:rsidRDefault="006E0848"/>
    <w:tbl>
      <w:tblPr>
        <w:tblStyle w:val="Cuadrculadetablaclara"/>
        <w:tblW w:w="5136" w:type="pct"/>
        <w:tblLayout w:type="fixed"/>
        <w:tblLook w:val="04A0" w:firstRow="1" w:lastRow="0" w:firstColumn="1" w:lastColumn="0" w:noHBand="0" w:noVBand="1"/>
      </w:tblPr>
      <w:tblGrid>
        <w:gridCol w:w="1839"/>
        <w:gridCol w:w="2834"/>
        <w:gridCol w:w="3358"/>
        <w:gridCol w:w="2313"/>
      </w:tblGrid>
      <w:tr w:rsidR="006E0848" w:rsidRPr="006E0848" w:rsidTr="006E0848">
        <w:trPr>
          <w:trHeight w:val="549"/>
        </w:trPr>
        <w:tc>
          <w:tcPr>
            <w:tcW w:w="889" w:type="pct"/>
            <w:vMerge w:val="restart"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  <w:t>18. Área Artística Arquitectura</w:t>
            </w:r>
          </w:p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</w:rPr>
              <w:t>Fomentar la difusión, la valorización y la promoción de la arquitectura en su dimensión cultural y patrimonial, fortaleciendo la creatividad, calidad e innovación en el ejercicio de la disciplina y su contribución al desarrollo cultural del país, buscando reducir los problemas sociales y mejorar la calidad de vida de las personas.</w:t>
            </w:r>
          </w:p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shd w:val="clear" w:color="auto" w:fill="FFFFFF"/>
              </w:rPr>
              <w:t>Fomentar el desarrollo de la creación artística de los y las agentes culturales a nivel nacional e internacional, promoviendo su formación y perfeccionamiento y resguardando sus derechos asociados, con respeto a la libertad de creación y valoración social de sus obras</w:t>
            </w: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Institucionalidad</w:t>
            </w:r>
          </w:p>
        </w:tc>
      </w:tr>
      <w:tr w:rsidR="006E0848" w:rsidRPr="006E0848" w:rsidTr="006E0848">
        <w:trPr>
          <w:trHeight w:val="401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Fomento de la Arquitectura</w:t>
            </w:r>
          </w:p>
        </w:tc>
      </w:tr>
      <w:tr w:rsidR="006E0848" w:rsidRPr="006E0848" w:rsidTr="006E0848">
        <w:trPr>
          <w:trHeight w:val="407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Internacionalización</w:t>
            </w:r>
          </w:p>
        </w:tc>
      </w:tr>
      <w:tr w:rsidR="006E0848" w:rsidRPr="006E0848" w:rsidTr="006E0848">
        <w:trPr>
          <w:trHeight w:val="453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Valoración de la Arquitectura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 w:val="restart"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  <w:t xml:space="preserve">19. Área Artística Artesanía   </w:t>
            </w:r>
          </w:p>
        </w:tc>
        <w:tc>
          <w:tcPr>
            <w:tcW w:w="1370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</w:rPr>
              <w:t>Instalar capacidades de gestión y comunicación en el sector artesanal a nivel nacional, en cada una de las etapas de su cadena de valor, de modo de reducir la brecha y el estado de vulnerabilidad de su desarrollo disciplinario.</w:t>
            </w:r>
          </w:p>
        </w:tc>
        <w:tc>
          <w:tcPr>
            <w:tcW w:w="1623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shd w:val="clear" w:color="auto" w:fill="FFFFFF"/>
              </w:rPr>
              <w:t>Fomentar el desarrollo de la creación artística de los y las agentes culturales a nivel nacional e internacional, promoviendo su formación y perfeccionamiento y resguardando sus derechos asociados, con respeto a la libertad de creación y valoración social de sus obras</w:t>
            </w: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Fomento a la Artesanía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Reconocimientos y Puesta en valor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Difusión y Circulación</w:t>
            </w:r>
          </w:p>
        </w:tc>
      </w:tr>
      <w:tr w:rsidR="006E0848" w:rsidRPr="006E0848" w:rsidTr="006E0848">
        <w:trPr>
          <w:trHeight w:val="60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 xml:space="preserve">Institucionalidad, </w:t>
            </w:r>
            <w:proofErr w:type="spellStart"/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Intersectorialidad</w:t>
            </w:r>
            <w:proofErr w:type="spellEnd"/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 xml:space="preserve"> y Articulación y Seguimiento de la Política de Fomento del Sector Artesanal </w:t>
            </w:r>
          </w:p>
        </w:tc>
      </w:tr>
      <w:tr w:rsidR="006E0848" w:rsidRPr="006E0848" w:rsidTr="006E0848">
        <w:trPr>
          <w:trHeight w:val="525"/>
        </w:trPr>
        <w:tc>
          <w:tcPr>
            <w:tcW w:w="889" w:type="pct"/>
            <w:vMerge w:val="restart"/>
            <w:noWrap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  <w:t>20. Economía Creativa</w:t>
            </w:r>
          </w:p>
        </w:tc>
        <w:tc>
          <w:tcPr>
            <w:tcW w:w="1370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</w:rPr>
              <w:t>Fortalecer la asociatividad y competencias de los agentes intermediarios (incipientes y establecidos) del sector de la economía creativa, con el fin de aumentar las oportunidades</w:t>
            </w:r>
            <w:r w:rsidRPr="006E084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6E0848">
              <w:rPr>
                <w:rFonts w:ascii="gobCL" w:eastAsia="Times New Roman" w:hAnsi="gobCL" w:cstheme="minorHAnsi"/>
                <w:sz w:val="20"/>
                <w:szCs w:val="20"/>
              </w:rPr>
              <w:t>de sostenibilidad de las iniciativas y facilitar su internacionalizaci</w:t>
            </w:r>
            <w:r w:rsidRPr="006E0848">
              <w:rPr>
                <w:rFonts w:ascii="gobCL" w:eastAsia="Times New Roman" w:hAnsi="gobCL" w:cs="gobCL"/>
                <w:sz w:val="20"/>
                <w:szCs w:val="20"/>
              </w:rPr>
              <w:t>ó</w:t>
            </w:r>
            <w:r w:rsidRPr="006E0848">
              <w:rPr>
                <w:rFonts w:ascii="gobCL" w:eastAsia="Times New Roman" w:hAnsi="gobCL" w:cstheme="minorHAnsi"/>
                <w:sz w:val="20"/>
                <w:szCs w:val="20"/>
              </w:rPr>
              <w:t>n.</w:t>
            </w:r>
          </w:p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shd w:val="clear" w:color="auto" w:fill="FFFFFF"/>
              </w:rPr>
              <w:t>Fomentar el desarrollo de la creación artística de los y las agentes culturales a nivel nacional e internacional, promoviendo su formación y perfeccionamiento y resguardando sus derechos asociados, con respeto a la libertad de creación y valoración social de sus obras</w:t>
            </w: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Generación, desarrollo y fortalecimiento de competencias y redes de intermediadores</w:t>
            </w:r>
          </w:p>
        </w:tc>
      </w:tr>
      <w:tr w:rsidR="006E0848" w:rsidRPr="006E0848" w:rsidTr="006E0848">
        <w:trPr>
          <w:trHeight w:val="57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Promoción de instancias de circulación, difusión y comercialización a nivel nacional e internacional.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Difusión y reconocimiento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 w:val="restart"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  <w:t>21. Programa de Apoyo a Organizaciones Culturales Colaboradoras</w:t>
            </w:r>
          </w:p>
        </w:tc>
        <w:tc>
          <w:tcPr>
            <w:tcW w:w="1370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</w:rPr>
              <w:t>Aumentar las capacidades de sostenibilidad de las organizaciones que realizan intermediación cultural, en relación a la gestión, los recursos económicos y asociatividad</w:t>
            </w:r>
          </w:p>
          <w:p w:rsidR="006E0848" w:rsidRPr="006E0848" w:rsidRDefault="006E0848" w:rsidP="006E0848">
            <w:pPr>
              <w:spacing w:line="276" w:lineRule="auto"/>
              <w:ind w:firstLine="708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shd w:val="clear" w:color="auto" w:fill="FFFFFF"/>
              </w:rPr>
              <w:t>Fomentar el desarrollo de la creación artística de los y las agentes culturales a nivel nacional e internacional, promoviendo su formación y perfeccionamiento y resguardando sus derechos asociados, con respeto a la libertad de creación y valoración social de sus obras</w:t>
            </w: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Actividades formativas y de asistencia técnica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Fortalecimiento de la gestión y programación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Apoyo a redes asociativas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 w:val="restart"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  <w:t>22. Escuelas de Rock y Música Popular Chilena</w:t>
            </w:r>
          </w:p>
        </w:tc>
        <w:tc>
          <w:tcPr>
            <w:tcW w:w="1370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Aumentar la participación cultural de los jóvenes en relación a la música popular chilena.</w:t>
            </w:r>
          </w:p>
        </w:tc>
        <w:tc>
          <w:tcPr>
            <w:tcW w:w="1623" w:type="pct"/>
            <w:vMerge w:val="restart"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shd w:val="clear" w:color="auto" w:fill="FFFFFF"/>
              </w:rPr>
              <w:t>Promover la participación cultural con pertinencia territorial, fomentando la formación de audiencias, mejorando la gestión de espacios culturales, reconociendo las expresiones culturales comunitarias y fortaleciendo el desarrollo de una cultura digital para el acceso y difusión de contenidos culturales de la ciudadanía.</w:t>
            </w: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Escuelas de Formación Artística</w:t>
            </w:r>
          </w:p>
        </w:tc>
      </w:tr>
      <w:tr w:rsidR="006E0848" w:rsidRPr="006E0848" w:rsidTr="006E0848">
        <w:trPr>
          <w:trHeight w:val="390"/>
        </w:trPr>
        <w:tc>
          <w:tcPr>
            <w:tcW w:w="889" w:type="pct"/>
            <w:vMerge/>
            <w:hideMark/>
          </w:tcPr>
          <w:p w:rsidR="006E0848" w:rsidRPr="006E0848" w:rsidRDefault="006E0848" w:rsidP="006E0848">
            <w:pPr>
              <w:spacing w:line="276" w:lineRule="auto"/>
              <w:rPr>
                <w:rFonts w:ascii="gobCL" w:eastAsia="Times New Roman" w:hAnsi="gobCL" w:cstheme="min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70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623" w:type="pct"/>
            <w:vMerge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8" w:type="pct"/>
            <w:hideMark/>
          </w:tcPr>
          <w:p w:rsidR="006E0848" w:rsidRPr="006E0848" w:rsidRDefault="006E0848" w:rsidP="006E0848">
            <w:pPr>
              <w:spacing w:line="276" w:lineRule="auto"/>
              <w:jc w:val="both"/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</w:pPr>
            <w:r w:rsidRPr="006E0848">
              <w:rPr>
                <w:rFonts w:ascii="gobCL" w:eastAsia="Times New Roman" w:hAnsi="gobCL" w:cstheme="minorHAnsi"/>
                <w:sz w:val="20"/>
                <w:szCs w:val="20"/>
                <w:lang w:eastAsia="es-CL"/>
              </w:rPr>
              <w:t>Red de Festivales e Itinerancias Escolares</w:t>
            </w:r>
          </w:p>
        </w:tc>
      </w:tr>
    </w:tbl>
    <w:p w:rsidR="006E0848" w:rsidRPr="006E0848" w:rsidRDefault="006E0848" w:rsidP="006E0848">
      <w:pPr>
        <w:tabs>
          <w:tab w:val="left" w:pos="2817"/>
        </w:tabs>
        <w:spacing w:after="0" w:line="240" w:lineRule="auto"/>
        <w:jc w:val="both"/>
        <w:rPr>
          <w:rFonts w:ascii="Calibri Light" w:eastAsia="Calibri" w:hAnsi="Calibri Light" w:cs="Tahoma"/>
          <w:sz w:val="20"/>
          <w:szCs w:val="20"/>
        </w:rPr>
      </w:pPr>
    </w:p>
    <w:p w:rsidR="00895E80" w:rsidRDefault="00895E80">
      <w:pPr>
        <w:rPr>
          <w:rFonts w:ascii="gobCL" w:hAnsi="gobCL"/>
          <w:b/>
          <w:sz w:val="28"/>
          <w:szCs w:val="28"/>
        </w:rPr>
      </w:pPr>
    </w:p>
    <w:p w:rsidR="001A6943" w:rsidRPr="003163AF" w:rsidRDefault="000108F6" w:rsidP="00895E80">
      <w:pPr>
        <w:jc w:val="center"/>
        <w:rPr>
          <w:rFonts w:ascii="gobCL" w:hAnsi="gobCL" w:cstheme="minorHAnsi"/>
          <w:b/>
          <w:sz w:val="28"/>
          <w:szCs w:val="24"/>
          <w:lang w:val="es-ES"/>
        </w:rPr>
      </w:pPr>
      <w:r w:rsidRPr="003163AF">
        <w:rPr>
          <w:rFonts w:ascii="gobCL" w:hAnsi="gobCL" w:cstheme="minorHAnsi"/>
          <w:b/>
          <w:sz w:val="28"/>
          <w:szCs w:val="24"/>
          <w:lang w:val="es-ES"/>
        </w:rPr>
        <w:t>MECANISMOS DE PARTICIPACIÓN CIUDADANA</w:t>
      </w:r>
    </w:p>
    <w:p w:rsidR="000108F6" w:rsidRPr="00365F35" w:rsidRDefault="000108F6" w:rsidP="00895E80">
      <w:pPr>
        <w:spacing w:line="360" w:lineRule="auto"/>
        <w:jc w:val="both"/>
        <w:rPr>
          <w:rFonts w:ascii="gobCL" w:hAnsi="gobCL" w:cstheme="minorHAnsi"/>
          <w:sz w:val="24"/>
          <w:szCs w:val="24"/>
          <w:lang w:val="es-ES"/>
        </w:rPr>
      </w:pPr>
      <w:r w:rsidRPr="00365F35">
        <w:rPr>
          <w:rFonts w:ascii="gobCL" w:hAnsi="gobCL" w:cstheme="minorHAnsi"/>
          <w:sz w:val="24"/>
          <w:szCs w:val="24"/>
          <w:lang w:val="es-ES"/>
        </w:rPr>
        <w:t xml:space="preserve">Según lo establecido en la Ley de Participación Ciudadana 20.500 </w:t>
      </w:r>
      <w:r w:rsidR="00F177C3" w:rsidRPr="00365F35">
        <w:rPr>
          <w:rFonts w:ascii="gobCL" w:hAnsi="gobCL" w:cstheme="minorHAnsi"/>
          <w:sz w:val="24"/>
          <w:szCs w:val="24"/>
          <w:lang w:val="es-ES"/>
        </w:rPr>
        <w:t xml:space="preserve"> l</w:t>
      </w:r>
      <w:r w:rsidR="00994A94" w:rsidRPr="00365F35">
        <w:rPr>
          <w:rFonts w:ascii="gobCL" w:hAnsi="gobCL" w:cstheme="minorHAnsi"/>
          <w:sz w:val="24"/>
          <w:szCs w:val="24"/>
          <w:lang w:val="es-ES"/>
        </w:rPr>
        <w:t xml:space="preserve">os mecanismos de participación ciudadana </w:t>
      </w:r>
      <w:r w:rsidRPr="00365F35">
        <w:rPr>
          <w:rFonts w:ascii="gobCL" w:hAnsi="gobCL" w:cstheme="minorHAnsi"/>
          <w:sz w:val="24"/>
          <w:szCs w:val="24"/>
          <w:lang w:val="es-ES"/>
        </w:rPr>
        <w:t xml:space="preserve">en el Ministerio y Subsecretaria de las Culturas y las Artes </w:t>
      </w:r>
      <w:r w:rsidR="00994A94" w:rsidRPr="00365F35">
        <w:rPr>
          <w:rFonts w:ascii="gobCL" w:hAnsi="gobCL" w:cstheme="minorHAnsi"/>
          <w:sz w:val="24"/>
          <w:szCs w:val="24"/>
          <w:lang w:val="es-ES"/>
        </w:rPr>
        <w:t>constituyen instancias de diálog</w:t>
      </w:r>
      <w:r w:rsidR="00FF59EF" w:rsidRPr="00365F35">
        <w:rPr>
          <w:rFonts w:ascii="gobCL" w:hAnsi="gobCL" w:cstheme="minorHAnsi"/>
          <w:sz w:val="24"/>
          <w:szCs w:val="24"/>
          <w:lang w:val="es-ES"/>
        </w:rPr>
        <w:t>o constante y fluido entre el organismo</w:t>
      </w:r>
      <w:r w:rsidR="00994A94" w:rsidRPr="00365F35">
        <w:rPr>
          <w:rFonts w:ascii="gobCL" w:hAnsi="gobCL" w:cstheme="minorHAnsi"/>
          <w:sz w:val="24"/>
          <w:szCs w:val="24"/>
          <w:lang w:val="es-ES"/>
        </w:rPr>
        <w:t xml:space="preserve"> y </w:t>
      </w:r>
      <w:r w:rsidRPr="00365F35">
        <w:rPr>
          <w:rFonts w:ascii="gobCL" w:hAnsi="gobCL" w:cstheme="minorHAnsi"/>
          <w:sz w:val="24"/>
          <w:szCs w:val="24"/>
          <w:lang w:val="es-ES"/>
        </w:rPr>
        <w:t xml:space="preserve">las personas, </w:t>
      </w:r>
      <w:r w:rsidR="00994A94" w:rsidRPr="00365F35">
        <w:rPr>
          <w:rFonts w:ascii="gobCL" w:hAnsi="gobCL" w:cstheme="minorHAnsi"/>
          <w:sz w:val="24"/>
          <w:szCs w:val="24"/>
          <w:lang w:val="es-ES"/>
        </w:rPr>
        <w:t xml:space="preserve"> agrupados o individualmente. En concordancia con lo anterior, se constituyen las siguientes modalidades y formas específicas </w:t>
      </w:r>
      <w:r w:rsidRPr="00365F35">
        <w:rPr>
          <w:rFonts w:ascii="gobCL" w:hAnsi="gobCL" w:cstheme="minorHAnsi"/>
          <w:sz w:val="24"/>
          <w:szCs w:val="24"/>
          <w:lang w:val="es-ES"/>
        </w:rPr>
        <w:t xml:space="preserve">de participación ciudadana en esta Subsecretaria </w:t>
      </w:r>
      <w:r w:rsidR="00994A94" w:rsidRPr="00365F35">
        <w:rPr>
          <w:rFonts w:ascii="gobCL" w:hAnsi="gobCL" w:cstheme="minorHAnsi"/>
          <w:sz w:val="24"/>
          <w:szCs w:val="24"/>
          <w:lang w:val="es-ES"/>
        </w:rPr>
        <w:t xml:space="preserve"> </w:t>
      </w:r>
    </w:p>
    <w:p w:rsidR="00A83F05" w:rsidRPr="00365F35" w:rsidRDefault="00994A94" w:rsidP="00895E80">
      <w:pPr>
        <w:spacing w:line="360" w:lineRule="auto"/>
        <w:jc w:val="both"/>
        <w:rPr>
          <w:rFonts w:ascii="gobCL" w:eastAsia="Times New Roman" w:hAnsi="gobCL" w:cs="Arial"/>
          <w:sz w:val="24"/>
          <w:szCs w:val="24"/>
          <w:lang w:val="es-ES_tradnl" w:eastAsia="es-CL"/>
        </w:rPr>
      </w:pPr>
      <w:r w:rsidRPr="003163AF">
        <w:rPr>
          <w:rFonts w:ascii="gobCL" w:hAnsi="gobCL" w:cstheme="minorHAnsi"/>
          <w:sz w:val="24"/>
          <w:szCs w:val="24"/>
          <w:u w:val="single"/>
          <w:lang w:val="es-ES"/>
        </w:rPr>
        <w:t>Cuenta Pública Participativa</w:t>
      </w:r>
      <w:r w:rsidR="00C34280" w:rsidRPr="00365F35">
        <w:rPr>
          <w:rFonts w:ascii="gobCL" w:hAnsi="gobCL" w:cstheme="minorHAnsi"/>
          <w:sz w:val="24"/>
          <w:szCs w:val="24"/>
          <w:lang w:val="es-ES"/>
        </w:rPr>
        <w:t>:</w:t>
      </w:r>
      <w:r w:rsidR="000108F6" w:rsidRPr="00365F35">
        <w:rPr>
          <w:rFonts w:ascii="gobCL" w:hAnsi="gobCL" w:cstheme="minorHAnsi"/>
          <w:sz w:val="24"/>
          <w:szCs w:val="24"/>
          <w:lang w:val="es-ES"/>
        </w:rPr>
        <w:t xml:space="preserve"> A</w:t>
      </w:r>
      <w:r w:rsidR="00C34280" w:rsidRPr="00365F35">
        <w:rPr>
          <w:rFonts w:ascii="gobCL" w:hAnsi="gobCL" w:cstheme="minorHAnsi"/>
          <w:sz w:val="24"/>
          <w:szCs w:val="24"/>
          <w:lang w:val="es-ES"/>
        </w:rPr>
        <w:t xml:space="preserve">nualmente </w:t>
      </w:r>
      <w:r w:rsidR="000108F6" w:rsidRPr="00365F35">
        <w:rPr>
          <w:rFonts w:ascii="gobCL" w:hAnsi="gobCL" w:cstheme="minorHAnsi"/>
          <w:sz w:val="24"/>
          <w:szCs w:val="24"/>
          <w:lang w:val="es-ES"/>
        </w:rPr>
        <w:t xml:space="preserve">el/la Ministro/a </w:t>
      </w:r>
      <w:r w:rsidR="00C34280" w:rsidRPr="00365F35">
        <w:rPr>
          <w:rFonts w:ascii="gobCL" w:hAnsi="gobCL" w:cstheme="minorHAnsi"/>
          <w:sz w:val="24"/>
          <w:szCs w:val="24"/>
          <w:lang w:val="es-ES"/>
        </w:rPr>
        <w:t xml:space="preserve">dará cuenta pública participativa a la de la gestión de sus políticas, planes, programas, acciones y de su ejecución presupuestaria, con la finalidad de informar a la ciudadanía sobre la gestión realizada, recoger preguntas y planteamientos de la ciudadanía y dar respuestas a éstas. </w:t>
      </w:r>
    </w:p>
    <w:p w:rsidR="00C34280" w:rsidRPr="00365F35" w:rsidRDefault="00C34280" w:rsidP="00895E80">
      <w:pPr>
        <w:spacing w:line="360" w:lineRule="auto"/>
        <w:jc w:val="both"/>
        <w:rPr>
          <w:rFonts w:ascii="gobCL" w:hAnsi="gobCL" w:cstheme="minorHAnsi"/>
          <w:sz w:val="24"/>
          <w:szCs w:val="24"/>
          <w:lang w:val="es-ES"/>
        </w:rPr>
      </w:pPr>
      <w:r w:rsidRPr="003163AF">
        <w:rPr>
          <w:rFonts w:ascii="gobCL" w:hAnsi="gobCL" w:cstheme="minorHAnsi"/>
          <w:sz w:val="24"/>
          <w:szCs w:val="24"/>
          <w:u w:val="single"/>
          <w:lang w:val="es-ES"/>
        </w:rPr>
        <w:t>Consejos de la Sociedad Civil</w:t>
      </w:r>
      <w:r w:rsidR="000108F6" w:rsidRPr="003163AF">
        <w:rPr>
          <w:rFonts w:ascii="gobCL" w:hAnsi="gobCL" w:cstheme="minorHAnsi"/>
          <w:sz w:val="24"/>
          <w:szCs w:val="24"/>
          <w:u w:val="single"/>
          <w:lang w:val="es-ES"/>
        </w:rPr>
        <w:t>:</w:t>
      </w:r>
      <w:r w:rsidR="000108F6" w:rsidRPr="00365F35">
        <w:rPr>
          <w:rFonts w:ascii="gobCL" w:hAnsi="gobCL" w:cstheme="minorHAnsi"/>
          <w:sz w:val="24"/>
          <w:szCs w:val="24"/>
          <w:lang w:val="es-ES"/>
        </w:rPr>
        <w:t xml:space="preserve"> El servicio </w:t>
      </w:r>
      <w:r w:rsidRPr="00365F35">
        <w:rPr>
          <w:rFonts w:ascii="gobCL" w:hAnsi="gobCL" w:cstheme="minorHAnsi"/>
          <w:sz w:val="24"/>
          <w:szCs w:val="24"/>
          <w:lang w:val="es-ES"/>
        </w:rPr>
        <w:t xml:space="preserve"> cuenta con Consejos de la Sociedad Civil </w:t>
      </w:r>
      <w:r w:rsidR="00072C59" w:rsidRPr="00365F35">
        <w:rPr>
          <w:rFonts w:ascii="gobCL" w:hAnsi="gobCL" w:cstheme="minorHAnsi"/>
          <w:sz w:val="24"/>
          <w:szCs w:val="24"/>
          <w:lang w:val="es-ES"/>
        </w:rPr>
        <w:t xml:space="preserve">de carácter </w:t>
      </w:r>
      <w:r w:rsidRPr="00365F35">
        <w:rPr>
          <w:rFonts w:ascii="gobCL" w:hAnsi="gobCL" w:cstheme="minorHAnsi"/>
          <w:sz w:val="24"/>
          <w:szCs w:val="24"/>
          <w:lang w:val="es-ES"/>
        </w:rPr>
        <w:t>consultivo y autónomo,</w:t>
      </w:r>
      <w:r w:rsidR="00FA4055" w:rsidRPr="00365F35">
        <w:rPr>
          <w:rFonts w:ascii="gobCL" w:hAnsi="gobCL" w:cstheme="minorHAnsi"/>
          <w:sz w:val="24"/>
          <w:szCs w:val="24"/>
          <w:lang w:val="es-ES"/>
        </w:rPr>
        <w:t xml:space="preserve"> </w:t>
      </w:r>
      <w:r w:rsidRPr="00365F35">
        <w:rPr>
          <w:rFonts w:ascii="gobCL" w:hAnsi="gobCL" w:cstheme="minorHAnsi"/>
          <w:sz w:val="24"/>
          <w:szCs w:val="24"/>
          <w:lang w:val="es-ES"/>
        </w:rPr>
        <w:t xml:space="preserve"> que tienen como objetivo acompañar los procesos de toma de decisiones y seguimiento de </w:t>
      </w:r>
      <w:r w:rsidR="00FA4055" w:rsidRPr="00365F35">
        <w:rPr>
          <w:rFonts w:ascii="gobCL" w:hAnsi="gobCL" w:cstheme="minorHAnsi"/>
          <w:sz w:val="24"/>
          <w:szCs w:val="24"/>
          <w:lang w:val="es-ES"/>
        </w:rPr>
        <w:t>los planes quinquenales  impulsado</w:t>
      </w:r>
      <w:r w:rsidRPr="00365F35">
        <w:rPr>
          <w:rFonts w:ascii="gobCL" w:hAnsi="gobCL" w:cstheme="minorHAnsi"/>
          <w:sz w:val="24"/>
          <w:szCs w:val="24"/>
          <w:lang w:val="es-ES"/>
        </w:rPr>
        <w:t>s por el Servicio</w:t>
      </w:r>
      <w:r w:rsidR="00072C59" w:rsidRPr="00365F35">
        <w:rPr>
          <w:rFonts w:ascii="gobCL" w:hAnsi="gobCL" w:cstheme="minorHAnsi"/>
          <w:sz w:val="24"/>
          <w:szCs w:val="24"/>
          <w:lang w:val="es-ES"/>
        </w:rPr>
        <w:t>. Los órganos colegiados son:</w:t>
      </w:r>
    </w:p>
    <w:p w:rsidR="00072C59" w:rsidRPr="003163AF" w:rsidRDefault="000108F6" w:rsidP="00895E80">
      <w:pPr>
        <w:pStyle w:val="Prrafodelista"/>
        <w:numPr>
          <w:ilvl w:val="0"/>
          <w:numId w:val="16"/>
        </w:numPr>
        <w:spacing w:after="0" w:line="360" w:lineRule="auto"/>
        <w:rPr>
          <w:rFonts w:ascii="gobCL" w:hAnsi="gobCL" w:cstheme="minorHAnsi"/>
          <w:sz w:val="24"/>
          <w:szCs w:val="24"/>
          <w:lang w:val="es-ES"/>
        </w:rPr>
      </w:pPr>
      <w:r w:rsidRPr="003163AF">
        <w:rPr>
          <w:rFonts w:ascii="gobCL" w:hAnsi="gobCL" w:cstheme="minorHAnsi"/>
          <w:sz w:val="24"/>
          <w:szCs w:val="24"/>
          <w:lang w:val="es-ES"/>
        </w:rPr>
        <w:t xml:space="preserve">CONSEJO NACIONAL DE LAS CULTURAS Y LAS ARTES </w:t>
      </w:r>
    </w:p>
    <w:p w:rsidR="00072C59" w:rsidRPr="003163AF" w:rsidRDefault="00FA4055" w:rsidP="00895E80">
      <w:pPr>
        <w:pStyle w:val="Prrafodelista"/>
        <w:numPr>
          <w:ilvl w:val="0"/>
          <w:numId w:val="16"/>
        </w:numPr>
        <w:spacing w:after="0" w:line="360" w:lineRule="auto"/>
        <w:rPr>
          <w:rFonts w:ascii="gobCL" w:hAnsi="gobCL" w:cstheme="minorHAnsi"/>
          <w:sz w:val="24"/>
          <w:szCs w:val="24"/>
          <w:lang w:val="es-ES"/>
        </w:rPr>
      </w:pPr>
      <w:r w:rsidRPr="003163AF">
        <w:rPr>
          <w:rFonts w:ascii="gobCL" w:hAnsi="gobCL" w:cstheme="minorHAnsi"/>
          <w:sz w:val="24"/>
          <w:szCs w:val="24"/>
          <w:lang w:val="es-ES"/>
        </w:rPr>
        <w:t>CONSEJOS REGIONALES DE LA CULTURA Y LAS ARTES</w:t>
      </w:r>
    </w:p>
    <w:p w:rsidR="00072C59" w:rsidRPr="003163AF" w:rsidRDefault="00FA4055" w:rsidP="00895E80">
      <w:pPr>
        <w:pStyle w:val="Prrafodelista"/>
        <w:numPr>
          <w:ilvl w:val="0"/>
          <w:numId w:val="16"/>
        </w:numPr>
        <w:spacing w:after="0" w:line="360" w:lineRule="auto"/>
        <w:rPr>
          <w:rFonts w:ascii="gobCL" w:hAnsi="gobCL" w:cstheme="minorHAnsi"/>
          <w:sz w:val="24"/>
          <w:szCs w:val="24"/>
          <w:lang w:val="es-ES"/>
        </w:rPr>
      </w:pPr>
      <w:r w:rsidRPr="003163AF">
        <w:rPr>
          <w:rFonts w:ascii="gobCL" w:hAnsi="gobCL" w:cstheme="minorHAnsi"/>
          <w:sz w:val="24"/>
          <w:szCs w:val="24"/>
          <w:lang w:val="es-ES"/>
        </w:rPr>
        <w:t>CONSEJOS SECTORIALES</w:t>
      </w:r>
      <w:r w:rsidR="00072C59" w:rsidRPr="003163AF">
        <w:rPr>
          <w:rFonts w:ascii="gobCL" w:hAnsi="gobCL" w:cstheme="minorHAnsi"/>
          <w:sz w:val="24"/>
          <w:szCs w:val="24"/>
          <w:lang w:val="es-ES"/>
        </w:rPr>
        <w:t>:</w:t>
      </w:r>
      <w:r w:rsidR="00990AFE" w:rsidRPr="003163AF">
        <w:rPr>
          <w:rFonts w:ascii="gobCL" w:hAnsi="gobCL" w:cstheme="minorHAnsi"/>
          <w:sz w:val="24"/>
          <w:szCs w:val="24"/>
          <w:lang w:val="es-ES"/>
        </w:rPr>
        <w:t xml:space="preserve"> </w:t>
      </w:r>
      <w:r w:rsidR="00072C59" w:rsidRPr="003163AF">
        <w:rPr>
          <w:rFonts w:ascii="gobCL" w:hAnsi="gobCL" w:cstheme="minorHAnsi"/>
          <w:sz w:val="24"/>
          <w:szCs w:val="24"/>
          <w:lang w:val="es-ES"/>
        </w:rPr>
        <w:t xml:space="preserve">Consejo del Arte y la Industria Audiovisual </w:t>
      </w:r>
      <w:r w:rsidR="00990AFE" w:rsidRPr="003163AF">
        <w:rPr>
          <w:rFonts w:ascii="gobCL" w:hAnsi="gobCL" w:cstheme="minorHAnsi"/>
          <w:sz w:val="24"/>
          <w:szCs w:val="24"/>
          <w:lang w:val="es-ES"/>
        </w:rPr>
        <w:t xml:space="preserve">/ </w:t>
      </w:r>
      <w:r w:rsidR="00072C59" w:rsidRPr="003163AF">
        <w:rPr>
          <w:rFonts w:ascii="gobCL" w:hAnsi="gobCL" w:cstheme="minorHAnsi"/>
          <w:sz w:val="24"/>
          <w:szCs w:val="24"/>
          <w:lang w:val="es-ES"/>
        </w:rPr>
        <w:t>Consejo de Fomento de la Música Nacional</w:t>
      </w:r>
      <w:r w:rsidR="00990AFE" w:rsidRPr="003163AF">
        <w:rPr>
          <w:rFonts w:ascii="gobCL" w:hAnsi="gobCL" w:cstheme="minorHAnsi"/>
          <w:sz w:val="24"/>
          <w:szCs w:val="24"/>
          <w:lang w:val="es-ES"/>
        </w:rPr>
        <w:t xml:space="preserve"> / </w:t>
      </w:r>
      <w:r w:rsidR="00072C59" w:rsidRPr="003163AF">
        <w:rPr>
          <w:rFonts w:ascii="gobCL" w:hAnsi="gobCL" w:cstheme="minorHAnsi"/>
          <w:sz w:val="24"/>
          <w:szCs w:val="24"/>
          <w:lang w:val="es-ES"/>
        </w:rPr>
        <w:t>Consejo Nacional</w:t>
      </w:r>
      <w:r w:rsidR="00990AFE" w:rsidRPr="003163AF">
        <w:rPr>
          <w:rFonts w:ascii="gobCL" w:hAnsi="gobCL" w:cstheme="minorHAnsi"/>
          <w:sz w:val="24"/>
          <w:szCs w:val="24"/>
          <w:lang w:val="es-ES"/>
        </w:rPr>
        <w:t xml:space="preserve"> del Libro y la Lectura</w:t>
      </w:r>
    </w:p>
    <w:p w:rsidR="00895E80" w:rsidRDefault="00895E80">
      <w:pPr>
        <w:rPr>
          <w:rFonts w:ascii="gobCL" w:hAnsi="gobCL" w:cstheme="minorHAnsi"/>
          <w:sz w:val="24"/>
          <w:szCs w:val="24"/>
          <w:u w:val="single"/>
          <w:lang w:val="es-ES"/>
        </w:rPr>
      </w:pPr>
      <w:r>
        <w:rPr>
          <w:rFonts w:ascii="gobCL" w:hAnsi="gobCL" w:cstheme="minorHAnsi"/>
          <w:sz w:val="24"/>
          <w:szCs w:val="24"/>
          <w:u w:val="single"/>
          <w:lang w:val="es-ES"/>
        </w:rPr>
        <w:br w:type="page"/>
      </w:r>
    </w:p>
    <w:p w:rsidR="00C34280" w:rsidRPr="00365F35" w:rsidRDefault="00C34280" w:rsidP="00895E80">
      <w:pPr>
        <w:spacing w:line="360" w:lineRule="auto"/>
        <w:jc w:val="both"/>
        <w:rPr>
          <w:rFonts w:ascii="gobCL" w:eastAsia="Times New Roman" w:hAnsi="gobCL" w:cs="Arial"/>
          <w:sz w:val="24"/>
          <w:szCs w:val="24"/>
          <w:lang w:val="es-ES_tradnl" w:eastAsia="es-CL"/>
        </w:rPr>
      </w:pPr>
      <w:r w:rsidRPr="003163AF">
        <w:rPr>
          <w:rFonts w:ascii="gobCL" w:hAnsi="gobCL" w:cstheme="minorHAnsi"/>
          <w:sz w:val="24"/>
          <w:szCs w:val="24"/>
          <w:u w:val="single"/>
          <w:lang w:val="es-ES"/>
        </w:rPr>
        <w:t>Consulta Ciudadana</w:t>
      </w:r>
      <w:r w:rsidR="00FA4055" w:rsidRPr="00365F35">
        <w:rPr>
          <w:rFonts w:ascii="gobCL" w:hAnsi="gobCL" w:cstheme="minorHAnsi"/>
          <w:sz w:val="24"/>
          <w:szCs w:val="24"/>
          <w:lang w:val="es-ES"/>
        </w:rPr>
        <w:t xml:space="preserve">: El servicio </w:t>
      </w:r>
      <w:r w:rsidRPr="00365F35">
        <w:rPr>
          <w:rFonts w:ascii="gobCL" w:hAnsi="gobCL" w:cstheme="minorHAnsi"/>
          <w:sz w:val="24"/>
          <w:szCs w:val="24"/>
          <w:lang w:val="es-ES"/>
        </w:rPr>
        <w:t xml:space="preserve"> dentro de su competencia, de oficio o a petición de parte, deberá señalar aquellas materias en que se requiera conocer la opinión de las personas, implementando para dichos efectos los espacios y canales de consulta para invitar a la ciudadanía a participar de manera informada, pluralista y representativa, entregando una respuesta oportuna y de calidad en las áreas de su competen</w:t>
      </w:r>
      <w:r w:rsidR="00E21742" w:rsidRPr="00365F35">
        <w:rPr>
          <w:rFonts w:ascii="gobCL" w:hAnsi="gobCL" w:cstheme="minorHAnsi"/>
          <w:sz w:val="24"/>
          <w:szCs w:val="24"/>
          <w:lang w:val="es-ES"/>
        </w:rPr>
        <w:t>cia. La Consulta a la ciudadanía,</w:t>
      </w:r>
      <w:r w:rsidRPr="00365F35">
        <w:rPr>
          <w:rFonts w:ascii="gobCL" w:hAnsi="gobCL" w:cstheme="minorHAnsi"/>
          <w:sz w:val="24"/>
          <w:szCs w:val="24"/>
          <w:lang w:val="es-ES"/>
        </w:rPr>
        <w:t xml:space="preserve"> podrá ser realizada utilizando cualquiera de </w:t>
      </w:r>
      <w:r w:rsidR="003163AF" w:rsidRPr="00365F35">
        <w:rPr>
          <w:rFonts w:ascii="gobCL" w:hAnsi="gobCL" w:cstheme="minorHAnsi"/>
          <w:sz w:val="24"/>
          <w:szCs w:val="24"/>
          <w:lang w:val="es-ES"/>
        </w:rPr>
        <w:t>las</w:t>
      </w:r>
      <w:r w:rsidRPr="00365F35">
        <w:rPr>
          <w:rFonts w:ascii="gobCL" w:hAnsi="gobCL" w:cstheme="minorHAnsi"/>
          <w:sz w:val="24"/>
          <w:szCs w:val="24"/>
          <w:lang w:val="es-ES"/>
        </w:rPr>
        <w:t xml:space="preserve"> </w:t>
      </w:r>
      <w:r w:rsidR="00973BA3" w:rsidRPr="00365F35">
        <w:rPr>
          <w:rFonts w:ascii="gobCL" w:hAnsi="gobCL" w:cstheme="minorHAnsi"/>
          <w:sz w:val="24"/>
          <w:szCs w:val="24"/>
          <w:lang w:val="es-ES"/>
        </w:rPr>
        <w:t>m</w:t>
      </w:r>
      <w:r w:rsidRPr="00365F35">
        <w:rPr>
          <w:rFonts w:ascii="gobCL" w:hAnsi="gobCL" w:cstheme="minorHAnsi"/>
          <w:sz w:val="24"/>
          <w:szCs w:val="24"/>
          <w:lang w:val="es-ES"/>
        </w:rPr>
        <w:t>odalidades que a continuación se individualizan</w:t>
      </w:r>
      <w:r w:rsidR="00E21742" w:rsidRPr="00365F35">
        <w:rPr>
          <w:rFonts w:ascii="gobCL" w:hAnsi="gobCL" w:cstheme="minorHAnsi"/>
          <w:strike/>
          <w:sz w:val="24"/>
          <w:szCs w:val="24"/>
          <w:lang w:val="es-ES"/>
        </w:rPr>
        <w:t>,</w:t>
      </w:r>
      <w:r w:rsidRPr="00365F35">
        <w:rPr>
          <w:rFonts w:ascii="gobCL" w:hAnsi="gobCL" w:cstheme="minorHAnsi"/>
          <w:sz w:val="24"/>
          <w:szCs w:val="24"/>
          <w:lang w:val="es-ES"/>
        </w:rPr>
        <w:t xml:space="preserve"> u otros que para cada caso se  determine:</w:t>
      </w:r>
    </w:p>
    <w:p w:rsidR="00C34280" w:rsidRPr="003163AF" w:rsidRDefault="00C34280" w:rsidP="00895E80">
      <w:pPr>
        <w:pStyle w:val="Prrafodelista"/>
        <w:numPr>
          <w:ilvl w:val="0"/>
          <w:numId w:val="17"/>
        </w:numPr>
        <w:spacing w:after="0" w:line="360" w:lineRule="auto"/>
        <w:rPr>
          <w:rFonts w:ascii="gobCL" w:eastAsia="Times New Roman" w:hAnsi="gobCL" w:cstheme="minorHAnsi"/>
          <w:sz w:val="24"/>
          <w:szCs w:val="24"/>
          <w:lang w:val="es-ES_tradnl" w:eastAsia="es-CL"/>
        </w:rPr>
      </w:pPr>
      <w:r w:rsidRPr="003163AF">
        <w:rPr>
          <w:rFonts w:ascii="gobCL" w:hAnsi="gobCL" w:cstheme="minorHAnsi"/>
          <w:sz w:val="24"/>
          <w:szCs w:val="24"/>
        </w:rPr>
        <w:t>Ventanillas Virtuales de opinión</w:t>
      </w:r>
    </w:p>
    <w:p w:rsidR="00C34280" w:rsidRPr="003163AF" w:rsidRDefault="00C34280" w:rsidP="00895E80">
      <w:pPr>
        <w:pStyle w:val="Prrafodelista"/>
        <w:numPr>
          <w:ilvl w:val="0"/>
          <w:numId w:val="17"/>
        </w:numPr>
        <w:spacing w:after="0" w:line="360" w:lineRule="auto"/>
        <w:rPr>
          <w:rFonts w:ascii="gobCL" w:eastAsia="Times New Roman" w:hAnsi="gobCL" w:cstheme="minorHAnsi"/>
          <w:sz w:val="24"/>
          <w:szCs w:val="24"/>
          <w:lang w:val="es-ES_tradnl" w:eastAsia="es-CL"/>
        </w:rPr>
      </w:pPr>
      <w:r w:rsidRPr="003163AF">
        <w:rPr>
          <w:rFonts w:ascii="gobCL" w:hAnsi="gobCL" w:cstheme="minorHAnsi"/>
          <w:sz w:val="24"/>
          <w:szCs w:val="24"/>
        </w:rPr>
        <w:t>Diálogos Participativos</w:t>
      </w:r>
    </w:p>
    <w:p w:rsidR="00C34280" w:rsidRPr="003163AF" w:rsidRDefault="00C34280" w:rsidP="00895E80">
      <w:pPr>
        <w:pStyle w:val="Prrafodelista"/>
        <w:numPr>
          <w:ilvl w:val="0"/>
          <w:numId w:val="17"/>
        </w:numPr>
        <w:spacing w:after="0" w:line="360" w:lineRule="auto"/>
        <w:rPr>
          <w:rFonts w:ascii="gobCL" w:eastAsia="Times New Roman" w:hAnsi="gobCL" w:cstheme="minorHAnsi"/>
          <w:sz w:val="24"/>
          <w:szCs w:val="24"/>
          <w:lang w:val="es-ES_tradnl" w:eastAsia="es-CL"/>
        </w:rPr>
      </w:pPr>
      <w:r w:rsidRPr="003163AF">
        <w:rPr>
          <w:rFonts w:ascii="gobCL" w:hAnsi="gobCL" w:cstheme="minorHAnsi"/>
          <w:sz w:val="24"/>
          <w:szCs w:val="24"/>
        </w:rPr>
        <w:t>Convención Nacional de Cultura</w:t>
      </w:r>
    </w:p>
    <w:p w:rsidR="00FA4055" w:rsidRPr="003163AF" w:rsidRDefault="00FA4055" w:rsidP="00895E80">
      <w:pPr>
        <w:pStyle w:val="Prrafodelista"/>
        <w:numPr>
          <w:ilvl w:val="0"/>
          <w:numId w:val="17"/>
        </w:numPr>
        <w:spacing w:after="0" w:line="360" w:lineRule="auto"/>
        <w:rPr>
          <w:rFonts w:ascii="gobCL" w:eastAsia="Times New Roman" w:hAnsi="gobCL" w:cstheme="minorHAnsi"/>
          <w:sz w:val="24"/>
          <w:szCs w:val="24"/>
          <w:lang w:val="es-ES_tradnl" w:eastAsia="es-CL"/>
        </w:rPr>
      </w:pPr>
      <w:r w:rsidRPr="003163AF">
        <w:rPr>
          <w:rFonts w:ascii="gobCL" w:hAnsi="gobCL" w:cstheme="minorHAnsi"/>
          <w:sz w:val="24"/>
          <w:szCs w:val="24"/>
        </w:rPr>
        <w:t xml:space="preserve">Consultas </w:t>
      </w:r>
    </w:p>
    <w:p w:rsidR="00F956F9" w:rsidRPr="00365F35" w:rsidRDefault="00C34280" w:rsidP="00895E80">
      <w:pPr>
        <w:spacing w:line="360" w:lineRule="auto"/>
        <w:jc w:val="both"/>
        <w:rPr>
          <w:rFonts w:ascii="gobCL" w:hAnsi="gobCL"/>
          <w:sz w:val="24"/>
          <w:szCs w:val="24"/>
        </w:rPr>
      </w:pPr>
      <w:r w:rsidRPr="003163AF">
        <w:rPr>
          <w:rFonts w:ascii="gobCL" w:hAnsi="gobCL" w:cstheme="minorHAnsi"/>
          <w:sz w:val="24"/>
          <w:szCs w:val="24"/>
          <w:u w:val="single"/>
          <w:lang w:val="es-ES"/>
        </w:rPr>
        <w:t>Acceso a Información Relevante</w:t>
      </w:r>
      <w:r w:rsidRPr="00365F35">
        <w:rPr>
          <w:rFonts w:ascii="gobCL" w:hAnsi="gobCL" w:cstheme="minorHAnsi"/>
          <w:sz w:val="24"/>
          <w:szCs w:val="24"/>
          <w:lang w:val="es-ES"/>
        </w:rPr>
        <w:t xml:space="preserve">: </w:t>
      </w:r>
      <w:r w:rsidR="00FA4055" w:rsidRPr="00365F35">
        <w:rPr>
          <w:rFonts w:ascii="gobCL" w:hAnsi="gobCL" w:cstheme="minorHAnsi"/>
          <w:sz w:val="24"/>
          <w:szCs w:val="24"/>
          <w:lang w:val="es-ES"/>
        </w:rPr>
        <w:t xml:space="preserve">El Servicio tiene para </w:t>
      </w:r>
      <w:r w:rsidRPr="00365F35">
        <w:rPr>
          <w:rFonts w:ascii="gobCL" w:hAnsi="gobCL" w:cstheme="minorHAnsi"/>
          <w:sz w:val="24"/>
          <w:szCs w:val="24"/>
          <w:lang w:val="es-ES"/>
        </w:rPr>
        <w:t xml:space="preserve">conocimiento público información relevante acerca de sus </w:t>
      </w:r>
      <w:r w:rsidR="00FA4055" w:rsidRPr="00365F35">
        <w:rPr>
          <w:rFonts w:ascii="gobCL" w:hAnsi="gobCL" w:cstheme="minorHAnsi"/>
          <w:sz w:val="24"/>
          <w:szCs w:val="24"/>
          <w:lang w:val="es-ES"/>
        </w:rPr>
        <w:t xml:space="preserve"> </w:t>
      </w:r>
      <w:r w:rsidRPr="00365F35">
        <w:rPr>
          <w:rFonts w:ascii="gobCL" w:hAnsi="gobCL" w:cstheme="minorHAnsi"/>
          <w:sz w:val="24"/>
          <w:szCs w:val="24"/>
          <w:lang w:val="es-ES"/>
        </w:rPr>
        <w:t xml:space="preserve">planes, programas, acciones y presupuestos asegurando que ésta sea oportuna, completa y ampliamente accesible.  </w:t>
      </w:r>
      <w:r w:rsidR="00FA4055" w:rsidRPr="00365F35">
        <w:rPr>
          <w:rFonts w:ascii="gobCL" w:hAnsi="gobCL" w:cstheme="minorHAnsi"/>
          <w:sz w:val="24"/>
          <w:szCs w:val="24"/>
          <w:lang w:val="es-ES"/>
        </w:rPr>
        <w:t xml:space="preserve">Asimismo </w:t>
      </w:r>
      <w:r w:rsidRPr="00365F35">
        <w:rPr>
          <w:rFonts w:ascii="gobCL" w:hAnsi="gobCL" w:cstheme="minorHAnsi"/>
          <w:sz w:val="24"/>
          <w:szCs w:val="24"/>
          <w:lang w:val="es-ES"/>
        </w:rPr>
        <w:t xml:space="preserve"> la ciudadanía, </w:t>
      </w:r>
      <w:r w:rsidR="00FA4055" w:rsidRPr="00365F35">
        <w:rPr>
          <w:rFonts w:ascii="gobCL" w:hAnsi="gobCL" w:cstheme="minorHAnsi"/>
          <w:sz w:val="24"/>
          <w:szCs w:val="24"/>
          <w:lang w:val="es-ES"/>
        </w:rPr>
        <w:t xml:space="preserve">puede realizar </w:t>
      </w:r>
      <w:r w:rsidRPr="00365F35">
        <w:rPr>
          <w:rFonts w:ascii="gobCL" w:hAnsi="gobCL" w:cstheme="minorHAnsi"/>
          <w:sz w:val="24"/>
          <w:szCs w:val="24"/>
          <w:lang w:val="es-ES"/>
        </w:rPr>
        <w:t xml:space="preserve"> consultas y sugerencias a través de los canales de atención al público coordinados a través del Sistema Integral de Información Ciudadana (SIAC). </w:t>
      </w:r>
    </w:p>
    <w:p w:rsidR="00FA4055" w:rsidRPr="00365F35" w:rsidRDefault="00FA4055" w:rsidP="00365F35">
      <w:pPr>
        <w:rPr>
          <w:rFonts w:ascii="gobCL" w:hAnsi="gobCL"/>
          <w:sz w:val="24"/>
          <w:szCs w:val="24"/>
        </w:rPr>
      </w:pPr>
    </w:p>
    <w:p w:rsidR="00FA4055" w:rsidRPr="003163AF" w:rsidRDefault="00FA4055" w:rsidP="003163AF">
      <w:pPr>
        <w:spacing w:after="0"/>
        <w:jc w:val="center"/>
        <w:rPr>
          <w:rFonts w:ascii="gobCL" w:hAnsi="gobCL" w:cstheme="minorHAnsi"/>
          <w:b/>
          <w:sz w:val="24"/>
          <w:szCs w:val="24"/>
          <w:lang w:val="es-ES"/>
        </w:rPr>
      </w:pPr>
      <w:r w:rsidRPr="003163AF">
        <w:rPr>
          <w:rFonts w:ascii="gobCL" w:hAnsi="gobCL" w:cstheme="minorHAnsi"/>
          <w:b/>
          <w:sz w:val="24"/>
          <w:szCs w:val="24"/>
          <w:lang w:val="es-ES"/>
        </w:rPr>
        <w:t>INFORMACIÓN DE CONTACTO</w:t>
      </w:r>
    </w:p>
    <w:p w:rsidR="00FA4055" w:rsidRPr="00365F35" w:rsidRDefault="00FA4055" w:rsidP="003163AF">
      <w:pPr>
        <w:spacing w:after="0"/>
        <w:jc w:val="center"/>
        <w:rPr>
          <w:rStyle w:val="Hipervnculo"/>
          <w:rFonts w:ascii="gobCL" w:hAnsi="gobCL" w:cstheme="minorHAnsi"/>
          <w:sz w:val="24"/>
          <w:szCs w:val="24"/>
        </w:rPr>
      </w:pPr>
      <w:r w:rsidRPr="00365F35">
        <w:rPr>
          <w:rFonts w:ascii="gobCL" w:hAnsi="gobCL" w:cstheme="minorHAnsi"/>
          <w:sz w:val="24"/>
          <w:szCs w:val="24"/>
        </w:rPr>
        <w:t xml:space="preserve">Portal Web: </w:t>
      </w:r>
      <w:hyperlink r:id="rId8" w:history="1">
        <w:r w:rsidRPr="00365F35">
          <w:rPr>
            <w:rStyle w:val="Hipervnculo"/>
            <w:rFonts w:ascii="gobCL" w:hAnsi="gobCL" w:cstheme="minorHAnsi"/>
            <w:sz w:val="24"/>
            <w:szCs w:val="24"/>
          </w:rPr>
          <w:t>www.cultura.gob.cl</w:t>
        </w:r>
      </w:hyperlink>
    </w:p>
    <w:p w:rsidR="00FA4055" w:rsidRPr="00365F35" w:rsidRDefault="00FA4055" w:rsidP="00365F35">
      <w:pPr>
        <w:rPr>
          <w:rFonts w:ascii="gobCL" w:hAnsi="gobCL" w:cstheme="minorHAnsi"/>
          <w:sz w:val="24"/>
          <w:szCs w:val="24"/>
        </w:rPr>
      </w:pPr>
    </w:p>
    <w:tbl>
      <w:tblPr>
        <w:tblStyle w:val="Cuadrculadetablaclara"/>
        <w:tblW w:w="5136" w:type="pct"/>
        <w:tblLayout w:type="fixed"/>
        <w:tblLook w:val="04A0" w:firstRow="1" w:lastRow="0" w:firstColumn="1" w:lastColumn="0" w:noHBand="0" w:noVBand="1"/>
      </w:tblPr>
      <w:tblGrid>
        <w:gridCol w:w="2406"/>
        <w:gridCol w:w="5453"/>
        <w:gridCol w:w="2485"/>
      </w:tblGrid>
      <w:tr w:rsidR="00FA4055" w:rsidRPr="00365F35" w:rsidTr="003163AF">
        <w:trPr>
          <w:trHeight w:val="306"/>
        </w:trPr>
        <w:tc>
          <w:tcPr>
            <w:tcW w:w="1163" w:type="pct"/>
            <w:hideMark/>
          </w:tcPr>
          <w:p w:rsidR="00FA4055" w:rsidRPr="003163AF" w:rsidRDefault="00FA4055" w:rsidP="00365F35">
            <w:pPr>
              <w:rPr>
                <w:rFonts w:ascii="gobCL" w:hAnsi="gobCL" w:cstheme="minorHAnsi"/>
                <w:b/>
                <w:sz w:val="24"/>
                <w:szCs w:val="24"/>
              </w:rPr>
            </w:pPr>
            <w:r w:rsidRPr="003163AF">
              <w:rPr>
                <w:rFonts w:ascii="gobCL" w:hAnsi="gobCL" w:cstheme="minorHAnsi"/>
                <w:b/>
                <w:sz w:val="24"/>
                <w:szCs w:val="24"/>
              </w:rPr>
              <w:t>UBICACIÓN</w:t>
            </w:r>
          </w:p>
        </w:tc>
        <w:tc>
          <w:tcPr>
            <w:tcW w:w="2636" w:type="pct"/>
            <w:noWrap/>
            <w:hideMark/>
          </w:tcPr>
          <w:p w:rsidR="00FA4055" w:rsidRPr="003163AF" w:rsidRDefault="00FA4055" w:rsidP="00365F35">
            <w:pPr>
              <w:rPr>
                <w:rFonts w:ascii="gobCL" w:hAnsi="gobCL" w:cstheme="minorHAnsi"/>
                <w:b/>
                <w:sz w:val="24"/>
                <w:szCs w:val="24"/>
              </w:rPr>
            </w:pPr>
            <w:r w:rsidRPr="003163AF">
              <w:rPr>
                <w:rFonts w:ascii="gobCL" w:hAnsi="gobCL" w:cstheme="minorHAnsi"/>
                <w:b/>
                <w:sz w:val="24"/>
                <w:szCs w:val="24"/>
              </w:rPr>
              <w:t>DIRECCIÓN</w:t>
            </w:r>
          </w:p>
        </w:tc>
        <w:tc>
          <w:tcPr>
            <w:tcW w:w="1202" w:type="pct"/>
            <w:hideMark/>
          </w:tcPr>
          <w:p w:rsidR="00FA4055" w:rsidRPr="003163AF" w:rsidRDefault="00FA4055" w:rsidP="00365F35">
            <w:pPr>
              <w:rPr>
                <w:rFonts w:ascii="gobCL" w:hAnsi="gobCL" w:cstheme="minorHAnsi"/>
                <w:b/>
                <w:sz w:val="24"/>
                <w:szCs w:val="24"/>
              </w:rPr>
            </w:pPr>
            <w:r w:rsidRPr="003163AF">
              <w:rPr>
                <w:rFonts w:ascii="gobCL" w:hAnsi="gobCL" w:cstheme="minorHAnsi"/>
                <w:b/>
                <w:sz w:val="24"/>
                <w:szCs w:val="24"/>
              </w:rPr>
              <w:t>TELEFONO OIRS</w:t>
            </w:r>
          </w:p>
        </w:tc>
      </w:tr>
      <w:tr w:rsidR="00FA4055" w:rsidRPr="00365F35" w:rsidTr="003163AF">
        <w:trPr>
          <w:trHeight w:val="395"/>
        </w:trPr>
        <w:tc>
          <w:tcPr>
            <w:tcW w:w="5000" w:type="pct"/>
            <w:gridSpan w:val="3"/>
          </w:tcPr>
          <w:p w:rsidR="00FA4055" w:rsidRPr="003163AF" w:rsidRDefault="00FA4055" w:rsidP="003163AF">
            <w:pPr>
              <w:jc w:val="center"/>
              <w:rPr>
                <w:rFonts w:ascii="gobCL" w:hAnsi="gobCL" w:cstheme="minorHAnsi"/>
                <w:sz w:val="24"/>
                <w:szCs w:val="24"/>
              </w:rPr>
            </w:pPr>
            <w:r w:rsidRPr="003163AF">
              <w:rPr>
                <w:rFonts w:ascii="gobCL" w:hAnsi="gobCL" w:cstheme="minorHAnsi"/>
                <w:sz w:val="24"/>
                <w:szCs w:val="24"/>
              </w:rPr>
              <w:t>OFICINAS CENTRALES</w:t>
            </w:r>
          </w:p>
        </w:tc>
      </w:tr>
      <w:tr w:rsidR="00FA4055" w:rsidRPr="00365F35" w:rsidTr="003163AF">
        <w:trPr>
          <w:trHeight w:val="255"/>
        </w:trPr>
        <w:tc>
          <w:tcPr>
            <w:tcW w:w="1163" w:type="pct"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Valparaíso</w:t>
            </w:r>
          </w:p>
        </w:tc>
        <w:tc>
          <w:tcPr>
            <w:tcW w:w="2636" w:type="pct"/>
            <w:noWrap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Plaza Sotomayor 233. Valparaíso</w:t>
            </w:r>
          </w:p>
        </w:tc>
        <w:tc>
          <w:tcPr>
            <w:tcW w:w="1202" w:type="pct"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(32) 2326400</w:t>
            </w:r>
          </w:p>
        </w:tc>
      </w:tr>
      <w:tr w:rsidR="00FA4055" w:rsidRPr="00365F35" w:rsidTr="003163AF">
        <w:trPr>
          <w:trHeight w:val="255"/>
        </w:trPr>
        <w:tc>
          <w:tcPr>
            <w:tcW w:w="1163" w:type="pct"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Santiago</w:t>
            </w:r>
          </w:p>
        </w:tc>
        <w:tc>
          <w:tcPr>
            <w:tcW w:w="2636" w:type="pct"/>
            <w:noWrap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Ahumada 48, piso 6º. Santiago.</w:t>
            </w:r>
          </w:p>
        </w:tc>
        <w:tc>
          <w:tcPr>
            <w:tcW w:w="1202" w:type="pct"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(02) 26189000 / 26189001</w:t>
            </w:r>
          </w:p>
        </w:tc>
      </w:tr>
      <w:tr w:rsidR="00FA4055" w:rsidRPr="00365F35" w:rsidTr="003163AF">
        <w:trPr>
          <w:trHeight w:val="255"/>
        </w:trPr>
        <w:tc>
          <w:tcPr>
            <w:tcW w:w="5000" w:type="pct"/>
            <w:gridSpan w:val="3"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SEREMÍAS</w:t>
            </w:r>
            <w:r w:rsidRPr="00365F35">
              <w:rPr>
                <w:rFonts w:ascii="Calibri" w:hAnsi="Calibri" w:cs="Calibri"/>
                <w:sz w:val="24"/>
                <w:szCs w:val="24"/>
              </w:rPr>
              <w:t> </w:t>
            </w:r>
            <w:r w:rsidRPr="00365F35">
              <w:rPr>
                <w:rFonts w:ascii="gobCL" w:hAnsi="gobCL" w:cstheme="minorHAnsi"/>
                <w:sz w:val="24"/>
                <w:szCs w:val="24"/>
              </w:rPr>
              <w:t xml:space="preserve"> DE CULTURAS</w:t>
            </w:r>
          </w:p>
        </w:tc>
      </w:tr>
      <w:tr w:rsidR="00FA4055" w:rsidRPr="00365F35" w:rsidTr="003163AF">
        <w:trPr>
          <w:trHeight w:val="255"/>
        </w:trPr>
        <w:tc>
          <w:tcPr>
            <w:tcW w:w="1163" w:type="pct"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Arica y Parinacota</w:t>
            </w:r>
            <w:r w:rsidRPr="00365F35">
              <w:rPr>
                <w:rFonts w:ascii="Calibri" w:hAnsi="Calibri" w:cs="Calibri"/>
                <w:sz w:val="24"/>
                <w:szCs w:val="24"/>
              </w:rPr>
              <w:t> </w:t>
            </w:r>
            <w:r w:rsidRPr="00365F35">
              <w:rPr>
                <w:rFonts w:ascii="gobCL" w:hAnsi="gobC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36" w:type="pct"/>
            <w:noWrap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 xml:space="preserve">Calle San Marcos 384, Arica. </w:t>
            </w:r>
          </w:p>
        </w:tc>
        <w:tc>
          <w:tcPr>
            <w:tcW w:w="1202" w:type="pct"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(58) 2251078 / 2250516</w:t>
            </w:r>
          </w:p>
        </w:tc>
      </w:tr>
      <w:tr w:rsidR="00FA4055" w:rsidRPr="00365F35" w:rsidTr="003163AF">
        <w:trPr>
          <w:trHeight w:val="255"/>
        </w:trPr>
        <w:tc>
          <w:tcPr>
            <w:tcW w:w="1163" w:type="pct"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Tarapacá</w:t>
            </w:r>
          </w:p>
        </w:tc>
        <w:tc>
          <w:tcPr>
            <w:tcW w:w="2636" w:type="pct"/>
            <w:noWrap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Baquedano 1073, Iquique.</w:t>
            </w:r>
          </w:p>
        </w:tc>
        <w:tc>
          <w:tcPr>
            <w:tcW w:w="1202" w:type="pct"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(57) 2423284 / 2425235 / 2427410</w:t>
            </w:r>
          </w:p>
        </w:tc>
      </w:tr>
      <w:tr w:rsidR="00FA4055" w:rsidRPr="00365F35" w:rsidTr="003163AF">
        <w:trPr>
          <w:trHeight w:val="255"/>
        </w:trPr>
        <w:tc>
          <w:tcPr>
            <w:tcW w:w="1163" w:type="pct"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Antofagasta</w:t>
            </w:r>
          </w:p>
        </w:tc>
        <w:tc>
          <w:tcPr>
            <w:tcW w:w="2636" w:type="pct"/>
            <w:noWrap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Calle Prat 253, Antofagasta.</w:t>
            </w:r>
          </w:p>
        </w:tc>
        <w:tc>
          <w:tcPr>
            <w:tcW w:w="1202" w:type="pct"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(55) 2267258 / 2283814 / 2267005</w:t>
            </w:r>
          </w:p>
        </w:tc>
      </w:tr>
      <w:tr w:rsidR="00FA4055" w:rsidRPr="00365F35" w:rsidTr="003163AF">
        <w:trPr>
          <w:trHeight w:val="255"/>
        </w:trPr>
        <w:tc>
          <w:tcPr>
            <w:tcW w:w="1163" w:type="pct"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Atacama</w:t>
            </w:r>
          </w:p>
        </w:tc>
        <w:tc>
          <w:tcPr>
            <w:tcW w:w="2636" w:type="pct"/>
            <w:noWrap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Atacama 660, Copiapó.</w:t>
            </w:r>
          </w:p>
        </w:tc>
        <w:tc>
          <w:tcPr>
            <w:tcW w:w="1202" w:type="pct"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(52) 231676</w:t>
            </w:r>
          </w:p>
        </w:tc>
      </w:tr>
      <w:tr w:rsidR="00FA4055" w:rsidRPr="00365F35" w:rsidTr="003163AF">
        <w:trPr>
          <w:trHeight w:val="255"/>
        </w:trPr>
        <w:tc>
          <w:tcPr>
            <w:tcW w:w="1163" w:type="pct"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Coquimbo</w:t>
            </w:r>
          </w:p>
        </w:tc>
        <w:tc>
          <w:tcPr>
            <w:tcW w:w="2636" w:type="pct"/>
            <w:noWrap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Colón 848, La Serena.</w:t>
            </w:r>
          </w:p>
        </w:tc>
        <w:tc>
          <w:tcPr>
            <w:tcW w:w="1202" w:type="pct"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(51) 224540</w:t>
            </w:r>
          </w:p>
        </w:tc>
      </w:tr>
      <w:tr w:rsidR="00FA4055" w:rsidRPr="00365F35" w:rsidTr="003163AF">
        <w:trPr>
          <w:trHeight w:val="371"/>
        </w:trPr>
        <w:tc>
          <w:tcPr>
            <w:tcW w:w="1163" w:type="pct"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Valparaíso</w:t>
            </w:r>
          </w:p>
        </w:tc>
        <w:tc>
          <w:tcPr>
            <w:tcW w:w="2636" w:type="pct"/>
            <w:noWrap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 xml:space="preserve">Plaza Sotomayor 233, piso 2, Valparaíso. </w:t>
            </w:r>
          </w:p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  <w:lang w:val="en-US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 xml:space="preserve">Oficina enlace Rapa </w:t>
            </w:r>
            <w:proofErr w:type="spellStart"/>
            <w:r w:rsidRPr="00365F35">
              <w:rPr>
                <w:rFonts w:ascii="gobCL" w:hAnsi="gobCL" w:cstheme="minorHAnsi"/>
                <w:sz w:val="24"/>
                <w:szCs w:val="24"/>
              </w:rPr>
              <w:t>Nui</w:t>
            </w:r>
            <w:proofErr w:type="spellEnd"/>
            <w:r w:rsidRPr="00365F35">
              <w:rPr>
                <w:rFonts w:ascii="gobCL" w:hAnsi="gobCL" w:cstheme="minorHAnsi"/>
                <w:sz w:val="24"/>
                <w:szCs w:val="24"/>
              </w:rPr>
              <w:t xml:space="preserve">: Avda. </w:t>
            </w:r>
            <w:r w:rsidRPr="00365F35">
              <w:rPr>
                <w:rFonts w:ascii="gobCL" w:hAnsi="gobCL" w:cstheme="minorHAnsi"/>
                <w:sz w:val="24"/>
                <w:szCs w:val="24"/>
                <w:lang w:val="en-US"/>
              </w:rPr>
              <w:t>Pont s/n, Rapa Nui.</w:t>
            </w:r>
          </w:p>
        </w:tc>
        <w:tc>
          <w:tcPr>
            <w:tcW w:w="1202" w:type="pct"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(32) 2326074</w:t>
            </w:r>
          </w:p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 xml:space="preserve">Enlace Rapa </w:t>
            </w:r>
            <w:proofErr w:type="spellStart"/>
            <w:r w:rsidRPr="00365F35">
              <w:rPr>
                <w:rFonts w:ascii="gobCL" w:hAnsi="gobCL" w:cstheme="minorHAnsi"/>
                <w:sz w:val="24"/>
                <w:szCs w:val="24"/>
              </w:rPr>
              <w:t>Nui</w:t>
            </w:r>
            <w:proofErr w:type="spellEnd"/>
            <w:r w:rsidRPr="00365F35">
              <w:rPr>
                <w:rFonts w:ascii="gobCL" w:hAnsi="gobCL" w:cstheme="minorHAnsi"/>
                <w:sz w:val="24"/>
                <w:szCs w:val="24"/>
              </w:rPr>
              <w:t xml:space="preserve"> (32) 2100255</w:t>
            </w:r>
          </w:p>
        </w:tc>
      </w:tr>
      <w:tr w:rsidR="00FA4055" w:rsidRPr="00365F35" w:rsidTr="003163AF">
        <w:trPr>
          <w:trHeight w:val="242"/>
        </w:trPr>
        <w:tc>
          <w:tcPr>
            <w:tcW w:w="1163" w:type="pct"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O’Higgins</w:t>
            </w:r>
          </w:p>
        </w:tc>
        <w:tc>
          <w:tcPr>
            <w:tcW w:w="2636" w:type="pct"/>
            <w:noWrap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Gamero N° 551, Rancagua.</w:t>
            </w:r>
          </w:p>
        </w:tc>
        <w:tc>
          <w:tcPr>
            <w:tcW w:w="1202" w:type="pct"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(72) 2235116 / 2242779</w:t>
            </w:r>
          </w:p>
        </w:tc>
      </w:tr>
      <w:tr w:rsidR="00FA4055" w:rsidRPr="00365F35" w:rsidTr="003163AF">
        <w:trPr>
          <w:trHeight w:val="255"/>
        </w:trPr>
        <w:tc>
          <w:tcPr>
            <w:tcW w:w="1163" w:type="pct"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Maule</w:t>
            </w:r>
          </w:p>
        </w:tc>
        <w:tc>
          <w:tcPr>
            <w:tcW w:w="2636" w:type="pct"/>
            <w:noWrap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Calle 3 Oriente N° 1072, Talca.</w:t>
            </w:r>
          </w:p>
        </w:tc>
        <w:tc>
          <w:tcPr>
            <w:tcW w:w="1202" w:type="pct"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(71) 2216433</w:t>
            </w:r>
          </w:p>
        </w:tc>
      </w:tr>
      <w:tr w:rsidR="00FA4055" w:rsidRPr="00365F35" w:rsidTr="003163AF">
        <w:trPr>
          <w:trHeight w:val="255"/>
        </w:trPr>
        <w:tc>
          <w:tcPr>
            <w:tcW w:w="1163" w:type="pct"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Biobío</w:t>
            </w:r>
          </w:p>
        </w:tc>
        <w:tc>
          <w:tcPr>
            <w:tcW w:w="2636" w:type="pct"/>
            <w:noWrap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Carrera 556, Chillán.</w:t>
            </w:r>
          </w:p>
        </w:tc>
        <w:tc>
          <w:tcPr>
            <w:tcW w:w="1202" w:type="pct"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(42) 2219671 / 2244016 / 2226703</w:t>
            </w:r>
          </w:p>
        </w:tc>
      </w:tr>
      <w:tr w:rsidR="00FA4055" w:rsidRPr="00365F35" w:rsidTr="003163AF">
        <w:trPr>
          <w:trHeight w:val="203"/>
        </w:trPr>
        <w:tc>
          <w:tcPr>
            <w:tcW w:w="1163" w:type="pct"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Ñuble</w:t>
            </w:r>
          </w:p>
        </w:tc>
        <w:tc>
          <w:tcPr>
            <w:tcW w:w="2636" w:type="pct"/>
            <w:noWrap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Cochrane 1064, Concepción.</w:t>
            </w:r>
          </w:p>
        </w:tc>
        <w:tc>
          <w:tcPr>
            <w:tcW w:w="1202" w:type="pct"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(41) 2221127 / 2224829 / 2247515</w:t>
            </w:r>
          </w:p>
        </w:tc>
      </w:tr>
      <w:tr w:rsidR="00FA4055" w:rsidRPr="00365F35" w:rsidTr="003163AF">
        <w:trPr>
          <w:trHeight w:val="255"/>
        </w:trPr>
        <w:tc>
          <w:tcPr>
            <w:tcW w:w="1163" w:type="pct"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Araucanía</w:t>
            </w:r>
          </w:p>
        </w:tc>
        <w:tc>
          <w:tcPr>
            <w:tcW w:w="2636" w:type="pct"/>
            <w:noWrap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proofErr w:type="spellStart"/>
            <w:r w:rsidRPr="00365F35">
              <w:rPr>
                <w:rFonts w:ascii="gobCL" w:hAnsi="gobCL" w:cstheme="minorHAnsi"/>
                <w:sz w:val="24"/>
                <w:szCs w:val="24"/>
              </w:rPr>
              <w:t>Phillippi</w:t>
            </w:r>
            <w:proofErr w:type="spellEnd"/>
            <w:r w:rsidRPr="00365F35">
              <w:rPr>
                <w:rFonts w:ascii="gobCL" w:hAnsi="gobCL" w:cstheme="minorHAnsi"/>
                <w:sz w:val="24"/>
                <w:szCs w:val="24"/>
              </w:rPr>
              <w:t xml:space="preserve"> 672-C, Temuco.</w:t>
            </w:r>
          </w:p>
        </w:tc>
        <w:tc>
          <w:tcPr>
            <w:tcW w:w="1202" w:type="pct"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(45) 2213445 / 2238768</w:t>
            </w:r>
          </w:p>
        </w:tc>
      </w:tr>
      <w:tr w:rsidR="00FA4055" w:rsidRPr="00365F35" w:rsidTr="003163AF">
        <w:trPr>
          <w:trHeight w:val="255"/>
        </w:trPr>
        <w:tc>
          <w:tcPr>
            <w:tcW w:w="1163" w:type="pct"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Los Ríos</w:t>
            </w:r>
          </w:p>
        </w:tc>
        <w:tc>
          <w:tcPr>
            <w:tcW w:w="2636" w:type="pct"/>
            <w:noWrap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General Lagos 1234, Valdivia.</w:t>
            </w:r>
          </w:p>
        </w:tc>
        <w:tc>
          <w:tcPr>
            <w:tcW w:w="1202" w:type="pct"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(63) 2239254</w:t>
            </w:r>
          </w:p>
        </w:tc>
      </w:tr>
      <w:tr w:rsidR="00FA4055" w:rsidRPr="00365F35" w:rsidTr="003163AF">
        <w:trPr>
          <w:trHeight w:val="166"/>
        </w:trPr>
        <w:tc>
          <w:tcPr>
            <w:tcW w:w="1163" w:type="pct"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Los Lagos</w:t>
            </w:r>
          </w:p>
        </w:tc>
        <w:tc>
          <w:tcPr>
            <w:tcW w:w="2636" w:type="pct"/>
            <w:noWrap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Avda. X Región 480, Puerto Montt. Edificio Anexo Intendencia.</w:t>
            </w:r>
          </w:p>
        </w:tc>
        <w:tc>
          <w:tcPr>
            <w:tcW w:w="1202" w:type="pct"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(65) 434491</w:t>
            </w:r>
          </w:p>
        </w:tc>
      </w:tr>
      <w:tr w:rsidR="00FA4055" w:rsidRPr="00365F35" w:rsidTr="003163AF">
        <w:trPr>
          <w:trHeight w:val="255"/>
        </w:trPr>
        <w:tc>
          <w:tcPr>
            <w:tcW w:w="1163" w:type="pct"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Aysén</w:t>
            </w:r>
          </w:p>
        </w:tc>
        <w:tc>
          <w:tcPr>
            <w:tcW w:w="2636" w:type="pct"/>
            <w:noWrap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21 de Mayo 574, Coyhaique.</w:t>
            </w:r>
          </w:p>
        </w:tc>
        <w:tc>
          <w:tcPr>
            <w:tcW w:w="1202" w:type="pct"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(67) 2214841</w:t>
            </w:r>
          </w:p>
        </w:tc>
      </w:tr>
      <w:tr w:rsidR="00FA4055" w:rsidRPr="00365F35" w:rsidTr="003163AF">
        <w:trPr>
          <w:trHeight w:val="255"/>
        </w:trPr>
        <w:tc>
          <w:tcPr>
            <w:tcW w:w="1163" w:type="pct"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Magallanes</w:t>
            </w:r>
          </w:p>
        </w:tc>
        <w:tc>
          <w:tcPr>
            <w:tcW w:w="2636" w:type="pct"/>
            <w:noWrap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Pedro Montt 809, Punta Arenas.</w:t>
            </w:r>
          </w:p>
        </w:tc>
        <w:tc>
          <w:tcPr>
            <w:tcW w:w="1202" w:type="pct"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(61) 2614458</w:t>
            </w:r>
          </w:p>
        </w:tc>
      </w:tr>
      <w:tr w:rsidR="00FA4055" w:rsidRPr="00365F35" w:rsidTr="003163AF">
        <w:trPr>
          <w:trHeight w:val="255"/>
        </w:trPr>
        <w:tc>
          <w:tcPr>
            <w:tcW w:w="1163" w:type="pct"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Metropolitana</w:t>
            </w:r>
          </w:p>
        </w:tc>
        <w:tc>
          <w:tcPr>
            <w:tcW w:w="2636" w:type="pct"/>
            <w:noWrap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Ahumada 48, Piso 4º, Santiago.</w:t>
            </w:r>
          </w:p>
        </w:tc>
        <w:tc>
          <w:tcPr>
            <w:tcW w:w="1202" w:type="pct"/>
            <w:hideMark/>
          </w:tcPr>
          <w:p w:rsidR="00FA4055" w:rsidRPr="00365F35" w:rsidRDefault="00FA4055" w:rsidP="00365F35">
            <w:pPr>
              <w:rPr>
                <w:rFonts w:ascii="gobCL" w:hAnsi="gobCL" w:cstheme="minorHAnsi"/>
                <w:sz w:val="24"/>
                <w:szCs w:val="24"/>
              </w:rPr>
            </w:pPr>
            <w:r w:rsidRPr="00365F35">
              <w:rPr>
                <w:rFonts w:ascii="gobCL" w:hAnsi="gobCL" w:cstheme="minorHAnsi"/>
                <w:sz w:val="24"/>
                <w:szCs w:val="24"/>
              </w:rPr>
              <w:t>(02) 26189030</w:t>
            </w:r>
          </w:p>
        </w:tc>
      </w:tr>
      <w:tr w:rsidR="00FA4055" w:rsidRPr="00365F35" w:rsidTr="003163AF">
        <w:tc>
          <w:tcPr>
            <w:tcW w:w="1163" w:type="pct"/>
            <w:hideMark/>
          </w:tcPr>
          <w:p w:rsidR="00FA4055" w:rsidRPr="00365F35" w:rsidRDefault="00FA4055" w:rsidP="00365F35">
            <w:pPr>
              <w:rPr>
                <w:rFonts w:ascii="gobCL" w:eastAsia="Times New Roman" w:hAnsi="gobCL"/>
                <w:sz w:val="24"/>
                <w:szCs w:val="24"/>
                <w:lang w:eastAsia="es-CL"/>
              </w:rPr>
            </w:pPr>
            <w:r w:rsidRPr="00365F35">
              <w:rPr>
                <w:rFonts w:ascii="gobCL" w:eastAsia="Times New Roman" w:hAnsi="gobCL"/>
                <w:sz w:val="24"/>
                <w:szCs w:val="24"/>
                <w:lang w:eastAsia="es-CL"/>
              </w:rPr>
              <w:t>Centro Nacional de Arte Contemporáneo Cerrillos</w:t>
            </w:r>
          </w:p>
        </w:tc>
        <w:tc>
          <w:tcPr>
            <w:tcW w:w="2636" w:type="pct"/>
            <w:hideMark/>
          </w:tcPr>
          <w:p w:rsidR="00FA4055" w:rsidRPr="00365F35" w:rsidRDefault="00FA4055" w:rsidP="00365F35">
            <w:pPr>
              <w:rPr>
                <w:rFonts w:ascii="gobCL" w:eastAsia="Times New Roman" w:hAnsi="gobCL"/>
                <w:sz w:val="24"/>
                <w:szCs w:val="24"/>
                <w:lang w:eastAsia="es-CL"/>
              </w:rPr>
            </w:pPr>
            <w:r w:rsidRPr="00365F35">
              <w:rPr>
                <w:rFonts w:ascii="gobCL" w:eastAsia="Times New Roman" w:hAnsi="gobCL"/>
                <w:sz w:val="24"/>
                <w:szCs w:val="24"/>
                <w:lang w:eastAsia="es-CL"/>
              </w:rPr>
              <w:t>Av. Pedro Aguirre Cerda 6100, Los Cerrillos, Cerrillos, Región Metropolitana</w:t>
            </w:r>
          </w:p>
        </w:tc>
        <w:tc>
          <w:tcPr>
            <w:tcW w:w="1202" w:type="pct"/>
            <w:hideMark/>
          </w:tcPr>
          <w:p w:rsidR="00FA4055" w:rsidRPr="00365F35" w:rsidRDefault="00FA4055" w:rsidP="00365F35">
            <w:pPr>
              <w:rPr>
                <w:rFonts w:ascii="gobCL" w:eastAsia="Times New Roman" w:hAnsi="gobCL"/>
                <w:sz w:val="24"/>
                <w:szCs w:val="24"/>
                <w:lang w:eastAsia="es-CL"/>
              </w:rPr>
            </w:pPr>
            <w:r w:rsidRPr="00365F35">
              <w:rPr>
                <w:rFonts w:ascii="gobCL" w:eastAsia="Times New Roman" w:hAnsi="gobCL"/>
                <w:sz w:val="24"/>
                <w:szCs w:val="24"/>
                <w:lang w:eastAsia="es-CL"/>
              </w:rPr>
              <w:t>(02) 2539 1811</w:t>
            </w:r>
          </w:p>
        </w:tc>
      </w:tr>
    </w:tbl>
    <w:p w:rsidR="00FA4055" w:rsidRPr="00365F35" w:rsidRDefault="00FA4055" w:rsidP="003163AF">
      <w:pPr>
        <w:jc w:val="center"/>
        <w:rPr>
          <w:rFonts w:ascii="gobCL" w:hAnsi="gobCL" w:cstheme="minorHAnsi"/>
          <w:sz w:val="24"/>
          <w:szCs w:val="24"/>
        </w:rPr>
      </w:pPr>
      <w:r w:rsidRPr="00365F35">
        <w:rPr>
          <w:rFonts w:ascii="gobCL" w:hAnsi="gobCL" w:cstheme="minorHAnsi"/>
          <w:sz w:val="24"/>
          <w:szCs w:val="24"/>
        </w:rPr>
        <w:t>Horarios de Atención Nivel Central: Lunes a jueves de 9:00 a 14:00 y de 15:00 a 18:00 horas / Viernes de 9:00 a 14:00 y de 15:00 a 17:00 horas.</w:t>
      </w:r>
    </w:p>
    <w:p w:rsidR="00FA4055" w:rsidRPr="00365F35" w:rsidRDefault="00FA4055" w:rsidP="003163AF">
      <w:pPr>
        <w:jc w:val="center"/>
        <w:rPr>
          <w:rFonts w:ascii="gobCL" w:hAnsi="gobCL"/>
          <w:sz w:val="24"/>
          <w:szCs w:val="24"/>
        </w:rPr>
      </w:pPr>
      <w:r w:rsidRPr="00365F35">
        <w:rPr>
          <w:rFonts w:ascii="gobCL" w:hAnsi="gobCL" w:cstheme="minorHAnsi"/>
          <w:sz w:val="24"/>
          <w:szCs w:val="24"/>
          <w:lang w:val="es-ES"/>
        </w:rPr>
        <w:t>Los horarios de atención de las sedes regionales los podrá encontrar en el link</w:t>
      </w:r>
      <w:r w:rsidRPr="00365F35">
        <w:rPr>
          <w:rFonts w:ascii="gobCL" w:eastAsia="Calibri" w:hAnsi="gobCL" w:cs="Times New Roman"/>
          <w:sz w:val="24"/>
          <w:szCs w:val="24"/>
          <w:lang w:eastAsia="es-CL"/>
        </w:rPr>
        <w:t xml:space="preserve"> </w:t>
      </w:r>
      <w:hyperlink r:id="rId9" w:history="1">
        <w:r w:rsidRPr="00365F35">
          <w:rPr>
            <w:rStyle w:val="Hipervnculo"/>
            <w:rFonts w:ascii="gobCL" w:eastAsia="Calibri" w:hAnsi="gobCL" w:cs="Times New Roman"/>
            <w:b/>
            <w:sz w:val="24"/>
            <w:szCs w:val="24"/>
            <w:lang w:eastAsia="es-CL"/>
          </w:rPr>
          <w:t>www.cultura.gob.cl/siac</w:t>
        </w:r>
      </w:hyperlink>
    </w:p>
    <w:p w:rsidR="003163AF" w:rsidRDefault="003163AF" w:rsidP="003163AF">
      <w:pPr>
        <w:jc w:val="center"/>
        <w:rPr>
          <w:rFonts w:ascii="gobCL" w:hAnsi="gobCL" w:cstheme="minorHAnsi"/>
          <w:b/>
          <w:sz w:val="24"/>
          <w:szCs w:val="24"/>
        </w:rPr>
      </w:pPr>
    </w:p>
    <w:p w:rsidR="00FA4055" w:rsidRPr="003163AF" w:rsidRDefault="00FA4055" w:rsidP="003163AF">
      <w:pPr>
        <w:spacing w:after="0"/>
        <w:jc w:val="center"/>
        <w:rPr>
          <w:rFonts w:ascii="gobCL" w:hAnsi="gobCL" w:cstheme="minorHAnsi"/>
          <w:b/>
          <w:sz w:val="24"/>
          <w:szCs w:val="24"/>
        </w:rPr>
      </w:pPr>
      <w:r w:rsidRPr="003163AF">
        <w:rPr>
          <w:rFonts w:ascii="gobCL" w:hAnsi="gobCL" w:cstheme="minorHAnsi"/>
          <w:b/>
          <w:sz w:val="24"/>
          <w:szCs w:val="24"/>
        </w:rPr>
        <w:t>OTROS ESPACIOS DE CONTACTO</w:t>
      </w:r>
    </w:p>
    <w:tbl>
      <w:tblPr>
        <w:tblStyle w:val="Cuadrculadetablaclara"/>
        <w:tblW w:w="0" w:type="auto"/>
        <w:jc w:val="center"/>
        <w:tblLook w:val="04A0" w:firstRow="1" w:lastRow="0" w:firstColumn="1" w:lastColumn="0" w:noHBand="0" w:noVBand="1"/>
      </w:tblPr>
      <w:tblGrid>
        <w:gridCol w:w="5217"/>
        <w:gridCol w:w="4701"/>
      </w:tblGrid>
      <w:tr w:rsidR="00FA4055" w:rsidRPr="00365F35" w:rsidTr="003163AF">
        <w:trPr>
          <w:jc w:val="center"/>
        </w:trPr>
        <w:tc>
          <w:tcPr>
            <w:tcW w:w="5217" w:type="dxa"/>
            <w:hideMark/>
          </w:tcPr>
          <w:p w:rsidR="00FA4055" w:rsidRPr="003163AF" w:rsidRDefault="00FA4055" w:rsidP="003163AF">
            <w:pPr>
              <w:rPr>
                <w:rFonts w:ascii="gobCL" w:hAnsi="gobCL"/>
                <w:bCs/>
                <w:color w:val="000000"/>
                <w:sz w:val="24"/>
                <w:szCs w:val="24"/>
                <w:lang w:eastAsia="es-CL"/>
              </w:rPr>
            </w:pPr>
            <w:r w:rsidRPr="003163AF">
              <w:rPr>
                <w:rFonts w:ascii="gobCL" w:hAnsi="gobCL"/>
                <w:bCs/>
                <w:color w:val="000000"/>
                <w:sz w:val="24"/>
                <w:szCs w:val="24"/>
                <w:lang w:eastAsia="es-CL"/>
              </w:rPr>
              <w:t>CENTRO DE ATENCIÓN FONDOS (CENTRO LLAMADAS)</w:t>
            </w:r>
            <w:r w:rsidRPr="003163AF">
              <w:rPr>
                <w:rFonts w:ascii="Calibri" w:hAnsi="Calibri" w:cs="Calibri"/>
                <w:bCs/>
                <w:color w:val="000000"/>
                <w:sz w:val="24"/>
                <w:szCs w:val="24"/>
                <w:lang w:eastAsia="es-CL"/>
              </w:rPr>
              <w:t>          </w:t>
            </w:r>
            <w:r w:rsidRPr="003163AF">
              <w:rPr>
                <w:rFonts w:ascii="gobCL" w:hAnsi="gobCL"/>
                <w:bCs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3163AF">
              <w:rPr>
                <w:rFonts w:ascii="Calibri" w:hAnsi="Calibri" w:cs="Calibri"/>
                <w:bCs/>
                <w:color w:val="000000"/>
                <w:sz w:val="24"/>
                <w:szCs w:val="24"/>
                <w:lang w:eastAsia="es-CL"/>
              </w:rPr>
              <w:t>                       </w:t>
            </w:r>
            <w:r w:rsidRPr="003163AF">
              <w:rPr>
                <w:rFonts w:ascii="gobCL" w:hAnsi="gobCL"/>
                <w:bCs/>
                <w:color w:val="000000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4701" w:type="dxa"/>
            <w:hideMark/>
          </w:tcPr>
          <w:p w:rsidR="00FA4055" w:rsidRPr="003163AF" w:rsidRDefault="00FA4055" w:rsidP="003163AF">
            <w:pPr>
              <w:rPr>
                <w:rFonts w:ascii="gobCL" w:hAnsi="gobCL"/>
                <w:bCs/>
                <w:color w:val="000000"/>
                <w:sz w:val="24"/>
                <w:szCs w:val="24"/>
                <w:lang w:eastAsia="es-CL"/>
              </w:rPr>
            </w:pPr>
            <w:r w:rsidRPr="003163AF">
              <w:rPr>
                <w:rFonts w:ascii="Calibri" w:hAnsi="Calibri" w:cs="Calibri"/>
                <w:bCs/>
                <w:color w:val="000000"/>
                <w:sz w:val="24"/>
                <w:szCs w:val="24"/>
                <w:lang w:eastAsia="es-CL"/>
              </w:rPr>
              <w:t>  </w:t>
            </w:r>
            <w:r w:rsidRPr="003163AF">
              <w:rPr>
                <w:rFonts w:ascii="gobCL" w:hAnsi="gobCL"/>
                <w:bCs/>
                <w:color w:val="000000"/>
                <w:sz w:val="24"/>
                <w:szCs w:val="24"/>
                <w:lang w:eastAsia="es-CL"/>
              </w:rPr>
              <w:t xml:space="preserve"> (32) 232 6000 (2) 2618 9250</w:t>
            </w:r>
          </w:p>
        </w:tc>
      </w:tr>
      <w:tr w:rsidR="00FA4055" w:rsidRPr="00365F35" w:rsidTr="003163AF">
        <w:trPr>
          <w:jc w:val="center"/>
        </w:trPr>
        <w:tc>
          <w:tcPr>
            <w:tcW w:w="5217" w:type="dxa"/>
            <w:hideMark/>
          </w:tcPr>
          <w:p w:rsidR="00FA4055" w:rsidRPr="003163AF" w:rsidRDefault="00FA4055" w:rsidP="00365F35">
            <w:pPr>
              <w:rPr>
                <w:rFonts w:ascii="gobCL" w:hAnsi="gobCL"/>
                <w:bCs/>
                <w:color w:val="000000"/>
                <w:sz w:val="24"/>
                <w:szCs w:val="24"/>
                <w:lang w:eastAsia="es-CL"/>
              </w:rPr>
            </w:pPr>
            <w:r w:rsidRPr="003163AF">
              <w:rPr>
                <w:rFonts w:ascii="gobCL" w:hAnsi="gobCL"/>
                <w:bCs/>
                <w:color w:val="000000"/>
                <w:sz w:val="24"/>
                <w:szCs w:val="24"/>
                <w:lang w:eastAsia="es-CL"/>
              </w:rPr>
              <w:t>OFICINA DE INFORMACIONES, RECLAMOS Y SUGERENCIAS VIRTUAL</w:t>
            </w:r>
          </w:p>
        </w:tc>
        <w:tc>
          <w:tcPr>
            <w:tcW w:w="4701" w:type="dxa"/>
          </w:tcPr>
          <w:p w:rsidR="00FA4055" w:rsidRPr="003163AF" w:rsidRDefault="00FA4055" w:rsidP="00365F35">
            <w:pPr>
              <w:rPr>
                <w:rFonts w:ascii="gobCL" w:hAnsi="gobCL"/>
                <w:bCs/>
                <w:color w:val="365F91"/>
                <w:sz w:val="24"/>
                <w:szCs w:val="24"/>
              </w:rPr>
            </w:pPr>
            <w:r w:rsidRPr="003163AF">
              <w:rPr>
                <w:rFonts w:ascii="gobCL" w:hAnsi="gobCL"/>
                <w:sz w:val="24"/>
                <w:szCs w:val="24"/>
              </w:rPr>
              <w:t>https://siac.cultura.gob.cl/formulariosiac</w:t>
            </w:r>
            <w:hyperlink r:id="rId10" w:history="1">
              <w:r w:rsidRPr="003163AF">
                <w:rPr>
                  <w:rStyle w:val="Hipervnculo"/>
                  <w:rFonts w:ascii="gobCL" w:hAnsi="gobCL"/>
                  <w:b/>
                  <w:bCs/>
                  <w:sz w:val="24"/>
                  <w:szCs w:val="24"/>
                </w:rPr>
                <w:t xml:space="preserve"> </w:t>
              </w:r>
            </w:hyperlink>
            <w:r w:rsidRPr="003163AF">
              <w:rPr>
                <w:rFonts w:ascii="Calibri" w:hAnsi="Calibri" w:cs="Calibri"/>
                <w:bCs/>
                <w:color w:val="365F91"/>
                <w:sz w:val="24"/>
                <w:szCs w:val="24"/>
              </w:rPr>
              <w:t>  </w:t>
            </w:r>
          </w:p>
          <w:p w:rsidR="00FA4055" w:rsidRPr="003163AF" w:rsidRDefault="00FA4055" w:rsidP="00365F35">
            <w:pPr>
              <w:rPr>
                <w:rFonts w:ascii="gobCL" w:hAnsi="gobCL"/>
                <w:color w:val="000000"/>
                <w:sz w:val="24"/>
                <w:szCs w:val="24"/>
                <w:lang w:eastAsia="es-CL"/>
              </w:rPr>
            </w:pPr>
          </w:p>
        </w:tc>
      </w:tr>
    </w:tbl>
    <w:p w:rsidR="00FA4055" w:rsidRPr="00365F35" w:rsidRDefault="00FA4055" w:rsidP="00365F35">
      <w:pPr>
        <w:rPr>
          <w:rFonts w:ascii="gobCL" w:hAnsi="gobCL" w:cstheme="minorHAnsi"/>
          <w:sz w:val="24"/>
          <w:szCs w:val="24"/>
          <w:lang w:val="es-ES"/>
        </w:rPr>
      </w:pPr>
    </w:p>
    <w:p w:rsidR="003163AF" w:rsidRDefault="00FA4055" w:rsidP="003163AF">
      <w:pPr>
        <w:spacing w:after="0"/>
        <w:jc w:val="center"/>
        <w:rPr>
          <w:rFonts w:ascii="gobCL" w:hAnsi="gobCL" w:cstheme="minorHAnsi"/>
          <w:sz w:val="24"/>
          <w:szCs w:val="24"/>
        </w:rPr>
      </w:pPr>
      <w:r w:rsidRPr="00365F35">
        <w:rPr>
          <w:rFonts w:ascii="gobCL" w:hAnsi="gobCL" w:cstheme="minorHAnsi"/>
          <w:sz w:val="24"/>
          <w:szCs w:val="24"/>
        </w:rPr>
        <w:t>OFICINA DE INFORMACIONES, RECLAMOS Y SUGERENCIAS VIRTUAL</w:t>
      </w:r>
    </w:p>
    <w:p w:rsidR="00FA4055" w:rsidRPr="00365F35" w:rsidRDefault="00FA4055" w:rsidP="003163AF">
      <w:pPr>
        <w:spacing w:after="0"/>
        <w:jc w:val="center"/>
        <w:rPr>
          <w:rStyle w:val="Hipervnculo"/>
          <w:rFonts w:ascii="gobCL" w:hAnsi="gobCL" w:cstheme="minorHAnsi"/>
          <w:b/>
          <w:sz w:val="24"/>
          <w:szCs w:val="24"/>
        </w:rPr>
      </w:pPr>
      <w:r w:rsidRPr="00365F35">
        <w:rPr>
          <w:rFonts w:ascii="gobCL" w:hAnsi="gobCL" w:cstheme="minorHAnsi"/>
          <w:sz w:val="24"/>
          <w:szCs w:val="24"/>
        </w:rPr>
        <w:t xml:space="preserve">: </w:t>
      </w:r>
      <w:hyperlink r:id="rId11" w:history="1">
        <w:r w:rsidRPr="00365F35">
          <w:rPr>
            <w:rStyle w:val="Hipervnculo"/>
            <w:rFonts w:ascii="gobCL" w:hAnsi="gobCL" w:cstheme="minorHAnsi"/>
            <w:b/>
            <w:sz w:val="24"/>
            <w:szCs w:val="24"/>
          </w:rPr>
          <w:t>http://formsiac.cultura.gob.cl/</w:t>
        </w:r>
      </w:hyperlink>
    </w:p>
    <w:p w:rsidR="00FA4055" w:rsidRPr="00365F35" w:rsidRDefault="00FA4055" w:rsidP="003163AF">
      <w:pPr>
        <w:jc w:val="center"/>
        <w:rPr>
          <w:rStyle w:val="Hipervnculo"/>
          <w:rFonts w:ascii="gobCL" w:hAnsi="gobCL" w:cstheme="minorHAnsi"/>
          <w:b/>
          <w:sz w:val="24"/>
          <w:szCs w:val="24"/>
        </w:rPr>
      </w:pPr>
    </w:p>
    <w:p w:rsidR="00FA4055" w:rsidRPr="00365F35" w:rsidRDefault="00FA4055" w:rsidP="003163AF">
      <w:pPr>
        <w:spacing w:after="0" w:line="240" w:lineRule="auto"/>
        <w:jc w:val="center"/>
        <w:rPr>
          <w:rStyle w:val="Hipervnculo"/>
          <w:rFonts w:ascii="gobCL" w:hAnsi="gobCL" w:cstheme="minorHAnsi"/>
          <w:b/>
          <w:color w:val="auto"/>
          <w:sz w:val="24"/>
          <w:szCs w:val="24"/>
          <w:u w:val="none"/>
        </w:rPr>
      </w:pPr>
      <w:r w:rsidRPr="00365F35">
        <w:rPr>
          <w:rStyle w:val="Hipervnculo"/>
          <w:rFonts w:ascii="gobCL" w:hAnsi="gobCL" w:cstheme="minorHAnsi"/>
          <w:b/>
          <w:color w:val="auto"/>
          <w:sz w:val="24"/>
          <w:szCs w:val="24"/>
          <w:u w:val="none"/>
        </w:rPr>
        <w:t>ENCUESTAS DE SATISFACCIÓN</w:t>
      </w:r>
    </w:p>
    <w:p w:rsidR="00FA4055" w:rsidRPr="00365F35" w:rsidRDefault="007B7E2F" w:rsidP="003163AF">
      <w:pPr>
        <w:spacing w:after="0" w:line="240" w:lineRule="auto"/>
        <w:jc w:val="center"/>
        <w:rPr>
          <w:rFonts w:ascii="gobCL" w:hAnsi="gobCL" w:cstheme="minorHAnsi"/>
          <w:sz w:val="24"/>
          <w:szCs w:val="24"/>
        </w:rPr>
      </w:pPr>
      <w:hyperlink r:id="rId12" w:history="1">
        <w:r w:rsidR="00FA4055" w:rsidRPr="00365F35">
          <w:rPr>
            <w:rFonts w:ascii="gobCL" w:hAnsi="gobCL"/>
            <w:color w:val="0000FF"/>
            <w:sz w:val="24"/>
            <w:szCs w:val="24"/>
            <w:u w:val="single"/>
          </w:rPr>
          <w:t>http://tuopinion.cultura.gob.cl/</w:t>
        </w:r>
      </w:hyperlink>
    </w:p>
    <w:p w:rsidR="00FA4055" w:rsidRPr="00365F35" w:rsidRDefault="00FA4055" w:rsidP="00365F35">
      <w:pPr>
        <w:rPr>
          <w:rFonts w:ascii="gobCL" w:hAnsi="gobCL" w:cstheme="minorHAnsi"/>
          <w:sz w:val="24"/>
          <w:szCs w:val="24"/>
          <w:lang w:val="es-ES"/>
        </w:rPr>
      </w:pPr>
    </w:p>
    <w:p w:rsidR="00FA4055" w:rsidRPr="00365F35" w:rsidRDefault="00FA4055" w:rsidP="00365F35">
      <w:pPr>
        <w:rPr>
          <w:rFonts w:ascii="gobCL" w:hAnsi="gobCL"/>
          <w:sz w:val="24"/>
          <w:szCs w:val="24"/>
        </w:rPr>
      </w:pPr>
    </w:p>
    <w:sectPr w:rsidR="00FA4055" w:rsidRPr="00365F35" w:rsidSect="000D3EE7">
      <w:headerReference w:type="default" r:id="rId13"/>
      <w:pgSz w:w="12240" w:h="20160" w:code="5"/>
      <w:pgMar w:top="42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E2F" w:rsidRDefault="007B7E2F" w:rsidP="00FE6321">
      <w:pPr>
        <w:spacing w:after="0" w:line="240" w:lineRule="auto"/>
      </w:pPr>
      <w:r>
        <w:separator/>
      </w:r>
    </w:p>
  </w:endnote>
  <w:endnote w:type="continuationSeparator" w:id="0">
    <w:p w:rsidR="007B7E2F" w:rsidRDefault="007B7E2F" w:rsidP="00FE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2000603050000020004"/>
    <w:charset w:val="00"/>
    <w:family w:val="modern"/>
    <w:notTrueType/>
    <w:pitch w:val="variable"/>
    <w:sig w:usb0="00000007" w:usb1="00000000" w:usb2="00000000" w:usb3="00000000" w:csb0="0000011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E2F" w:rsidRDefault="007B7E2F" w:rsidP="00FE6321">
      <w:pPr>
        <w:spacing w:after="0" w:line="240" w:lineRule="auto"/>
      </w:pPr>
      <w:r>
        <w:separator/>
      </w:r>
    </w:p>
  </w:footnote>
  <w:footnote w:type="continuationSeparator" w:id="0">
    <w:p w:rsidR="007B7E2F" w:rsidRDefault="007B7E2F" w:rsidP="00FE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321" w:rsidRPr="0038026F" w:rsidRDefault="0020218F" w:rsidP="00FE6321">
    <w:pPr>
      <w:pStyle w:val="Encabezado"/>
      <w:jc w:val="right"/>
      <w:rPr>
        <w:sz w:val="20"/>
      </w:rPr>
    </w:pPr>
    <w:r w:rsidRPr="00370FC1">
      <w:rPr>
        <w:noProof/>
        <w:color w:val="7F7F7F" w:themeColor="text1" w:themeTint="80"/>
        <w:sz w:val="28"/>
        <w:szCs w:val="28"/>
        <w:lang w:eastAsia="es-CL"/>
      </w:rPr>
      <w:drawing>
        <wp:anchor distT="0" distB="0" distL="114300" distR="114300" simplePos="0" relativeHeight="251659264" behindDoc="0" locked="0" layoutInCell="1" allowOverlap="1" wp14:anchorId="3D0ACD51" wp14:editId="62737CDB">
          <wp:simplePos x="0" y="0"/>
          <wp:positionH relativeFrom="column">
            <wp:posOffset>-384175</wp:posOffset>
          </wp:positionH>
          <wp:positionV relativeFrom="paragraph">
            <wp:posOffset>-244475</wp:posOffset>
          </wp:positionV>
          <wp:extent cx="786765" cy="702945"/>
          <wp:effectExtent l="0" t="0" r="0" b="1905"/>
          <wp:wrapSquare wrapText="bothSides"/>
          <wp:docPr id="3" name="Imagen 3" descr="http://www.cultura.gob.cl/wp-content/uploads/2018/03/logo-mc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ultura.gob.cl/wp-content/uploads/2018/03/logo-mca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6321">
      <w:t xml:space="preserve">   </w:t>
    </w:r>
    <w:r w:rsidR="00FE6321" w:rsidRPr="0038026F">
      <w:rPr>
        <w:sz w:val="20"/>
      </w:rPr>
      <w:t>Sección de Participación Ciudadana, Género e Inclusión</w:t>
    </w:r>
  </w:p>
  <w:p w:rsidR="00FE6321" w:rsidRPr="0038026F" w:rsidRDefault="00345102" w:rsidP="00FE6321">
    <w:pPr>
      <w:pStyle w:val="Encabezado"/>
      <w:jc w:val="right"/>
      <w:rPr>
        <w:sz w:val="20"/>
      </w:rPr>
    </w:pPr>
    <w:r>
      <w:rPr>
        <w:sz w:val="20"/>
      </w:rPr>
      <w:t xml:space="preserve">Subsecretaria de las Culturas y las Artes </w:t>
    </w:r>
  </w:p>
  <w:p w:rsidR="00FE6321" w:rsidRDefault="00FE6321">
    <w:pPr>
      <w:pStyle w:val="Encabezado"/>
    </w:pPr>
  </w:p>
  <w:p w:rsidR="00FE6321" w:rsidRDefault="00FE63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C5B"/>
    <w:multiLevelType w:val="hybridMultilevel"/>
    <w:tmpl w:val="CC4ADFC0"/>
    <w:lvl w:ilvl="0" w:tplc="3B7668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A5BC4"/>
    <w:multiLevelType w:val="hybridMultilevel"/>
    <w:tmpl w:val="6FA0B324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C0949"/>
    <w:multiLevelType w:val="hybridMultilevel"/>
    <w:tmpl w:val="FCB67D28"/>
    <w:lvl w:ilvl="0" w:tplc="3B766880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7F17F9"/>
    <w:multiLevelType w:val="hybridMultilevel"/>
    <w:tmpl w:val="C2E8F058"/>
    <w:lvl w:ilvl="0" w:tplc="9C028D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343D48"/>
    <w:multiLevelType w:val="hybridMultilevel"/>
    <w:tmpl w:val="5D8C2FB6"/>
    <w:lvl w:ilvl="0" w:tplc="3B766880">
      <w:numFmt w:val="bullet"/>
      <w:lvlText w:val="-"/>
      <w:lvlJc w:val="left"/>
      <w:pPr>
        <w:ind w:left="1428" w:hanging="360"/>
      </w:pPr>
      <w:rPr>
        <w:rFonts w:ascii="Cambria" w:eastAsiaTheme="minorEastAsia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05363A0"/>
    <w:multiLevelType w:val="hybridMultilevel"/>
    <w:tmpl w:val="B184A2A8"/>
    <w:lvl w:ilvl="0" w:tplc="3B766880">
      <w:numFmt w:val="bullet"/>
      <w:lvlText w:val="-"/>
      <w:lvlJc w:val="left"/>
      <w:pPr>
        <w:ind w:left="1425" w:hanging="360"/>
      </w:pPr>
      <w:rPr>
        <w:rFonts w:ascii="Cambria" w:eastAsiaTheme="minorEastAsia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7FF3881"/>
    <w:multiLevelType w:val="hybridMultilevel"/>
    <w:tmpl w:val="E6A61556"/>
    <w:lvl w:ilvl="0" w:tplc="3B766880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9A2F33"/>
    <w:multiLevelType w:val="hybridMultilevel"/>
    <w:tmpl w:val="7532A13A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37605B"/>
    <w:multiLevelType w:val="hybridMultilevel"/>
    <w:tmpl w:val="80E2018C"/>
    <w:lvl w:ilvl="0" w:tplc="3B766880">
      <w:numFmt w:val="bullet"/>
      <w:lvlText w:val="-"/>
      <w:lvlJc w:val="left"/>
      <w:pPr>
        <w:ind w:left="1428" w:hanging="360"/>
      </w:pPr>
      <w:rPr>
        <w:rFonts w:ascii="Cambria" w:eastAsiaTheme="minorEastAsia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E721F5E"/>
    <w:multiLevelType w:val="hybridMultilevel"/>
    <w:tmpl w:val="074E9D58"/>
    <w:lvl w:ilvl="0" w:tplc="B95EC9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15891"/>
    <w:multiLevelType w:val="hybridMultilevel"/>
    <w:tmpl w:val="F1DE8412"/>
    <w:lvl w:ilvl="0" w:tplc="3B766880">
      <w:numFmt w:val="bullet"/>
      <w:lvlText w:val="-"/>
      <w:lvlJc w:val="left"/>
      <w:pPr>
        <w:ind w:left="1428" w:hanging="360"/>
      </w:pPr>
      <w:rPr>
        <w:rFonts w:ascii="Cambria" w:eastAsiaTheme="minorEastAsia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E37314C"/>
    <w:multiLevelType w:val="hybridMultilevel"/>
    <w:tmpl w:val="FBBE6DA8"/>
    <w:lvl w:ilvl="0" w:tplc="9C028D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C50D0"/>
    <w:multiLevelType w:val="hybridMultilevel"/>
    <w:tmpl w:val="50924752"/>
    <w:lvl w:ilvl="0" w:tplc="3B766880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C182B60"/>
    <w:multiLevelType w:val="hybridMultilevel"/>
    <w:tmpl w:val="0D90C7D8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874BA8"/>
    <w:multiLevelType w:val="hybridMultilevel"/>
    <w:tmpl w:val="61D49540"/>
    <w:lvl w:ilvl="0" w:tplc="B95EC9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C08FC"/>
    <w:multiLevelType w:val="hybridMultilevel"/>
    <w:tmpl w:val="6DE090AA"/>
    <w:lvl w:ilvl="0" w:tplc="B95EC9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3B766880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B30D8"/>
    <w:multiLevelType w:val="hybridMultilevel"/>
    <w:tmpl w:val="B5C25F7A"/>
    <w:lvl w:ilvl="0" w:tplc="3B766880">
      <w:numFmt w:val="bullet"/>
      <w:lvlText w:val="-"/>
      <w:lvlJc w:val="left"/>
      <w:pPr>
        <w:ind w:left="1425" w:hanging="360"/>
      </w:pPr>
      <w:rPr>
        <w:rFonts w:ascii="Cambria" w:eastAsiaTheme="minorEastAsia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7DEA4404"/>
    <w:multiLevelType w:val="hybridMultilevel"/>
    <w:tmpl w:val="29865112"/>
    <w:lvl w:ilvl="0" w:tplc="3B766880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"/>
  </w:num>
  <w:num w:numId="5">
    <w:abstractNumId w:val="17"/>
  </w:num>
  <w:num w:numId="6">
    <w:abstractNumId w:val="5"/>
  </w:num>
  <w:num w:numId="7">
    <w:abstractNumId w:val="6"/>
  </w:num>
  <w:num w:numId="8">
    <w:abstractNumId w:val="13"/>
  </w:num>
  <w:num w:numId="9">
    <w:abstractNumId w:val="4"/>
  </w:num>
  <w:num w:numId="10">
    <w:abstractNumId w:val="2"/>
  </w:num>
  <w:num w:numId="11">
    <w:abstractNumId w:val="12"/>
  </w:num>
  <w:num w:numId="12">
    <w:abstractNumId w:val="7"/>
  </w:num>
  <w:num w:numId="13">
    <w:abstractNumId w:val="16"/>
  </w:num>
  <w:num w:numId="14">
    <w:abstractNumId w:val="3"/>
  </w:num>
  <w:num w:numId="15">
    <w:abstractNumId w:val="11"/>
  </w:num>
  <w:num w:numId="16">
    <w:abstractNumId w:val="8"/>
  </w:num>
  <w:num w:numId="17">
    <w:abstractNumId w:val="10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7C"/>
    <w:rsid w:val="00007E75"/>
    <w:rsid w:val="000108F6"/>
    <w:rsid w:val="000115AA"/>
    <w:rsid w:val="000228ED"/>
    <w:rsid w:val="00044576"/>
    <w:rsid w:val="000542F2"/>
    <w:rsid w:val="00061D6D"/>
    <w:rsid w:val="00066E1A"/>
    <w:rsid w:val="00072C59"/>
    <w:rsid w:val="00080A35"/>
    <w:rsid w:val="00081A53"/>
    <w:rsid w:val="00096D59"/>
    <w:rsid w:val="000A1A4C"/>
    <w:rsid w:val="000A383C"/>
    <w:rsid w:val="000B5A6E"/>
    <w:rsid w:val="000C7A56"/>
    <w:rsid w:val="000D3EE7"/>
    <w:rsid w:val="000D4771"/>
    <w:rsid w:val="000E28BC"/>
    <w:rsid w:val="00111162"/>
    <w:rsid w:val="00112527"/>
    <w:rsid w:val="001132AF"/>
    <w:rsid w:val="00121B6C"/>
    <w:rsid w:val="00125EE5"/>
    <w:rsid w:val="00147875"/>
    <w:rsid w:val="00147A37"/>
    <w:rsid w:val="00150D12"/>
    <w:rsid w:val="001519CC"/>
    <w:rsid w:val="001557FA"/>
    <w:rsid w:val="00157AD2"/>
    <w:rsid w:val="0018097F"/>
    <w:rsid w:val="001913F2"/>
    <w:rsid w:val="001963B9"/>
    <w:rsid w:val="001A2A5E"/>
    <w:rsid w:val="001A54FB"/>
    <w:rsid w:val="001A6943"/>
    <w:rsid w:val="001C5C21"/>
    <w:rsid w:val="001C7B71"/>
    <w:rsid w:val="001D3886"/>
    <w:rsid w:val="001D7D1E"/>
    <w:rsid w:val="001E021E"/>
    <w:rsid w:val="0020135C"/>
    <w:rsid w:val="0020218F"/>
    <w:rsid w:val="0020428F"/>
    <w:rsid w:val="0021369E"/>
    <w:rsid w:val="00216682"/>
    <w:rsid w:val="002208F6"/>
    <w:rsid w:val="002241A6"/>
    <w:rsid w:val="0024327F"/>
    <w:rsid w:val="002445E3"/>
    <w:rsid w:val="0025290E"/>
    <w:rsid w:val="002710D4"/>
    <w:rsid w:val="00272E5F"/>
    <w:rsid w:val="002862B0"/>
    <w:rsid w:val="002920E4"/>
    <w:rsid w:val="002A2ECF"/>
    <w:rsid w:val="002C4319"/>
    <w:rsid w:val="002C50A6"/>
    <w:rsid w:val="002C5114"/>
    <w:rsid w:val="002C7FC8"/>
    <w:rsid w:val="002E0751"/>
    <w:rsid w:val="0031132B"/>
    <w:rsid w:val="003163AF"/>
    <w:rsid w:val="003166B9"/>
    <w:rsid w:val="003253F7"/>
    <w:rsid w:val="00345102"/>
    <w:rsid w:val="003558AD"/>
    <w:rsid w:val="00365F35"/>
    <w:rsid w:val="003678BE"/>
    <w:rsid w:val="00373B1B"/>
    <w:rsid w:val="003854FC"/>
    <w:rsid w:val="003913FE"/>
    <w:rsid w:val="003950D1"/>
    <w:rsid w:val="0039707A"/>
    <w:rsid w:val="003A2D35"/>
    <w:rsid w:val="003A546B"/>
    <w:rsid w:val="003C016C"/>
    <w:rsid w:val="003C14BD"/>
    <w:rsid w:val="003C6C25"/>
    <w:rsid w:val="003D4E1B"/>
    <w:rsid w:val="003D4E8C"/>
    <w:rsid w:val="003D64BF"/>
    <w:rsid w:val="003F2756"/>
    <w:rsid w:val="003F39AE"/>
    <w:rsid w:val="003F783B"/>
    <w:rsid w:val="0041207A"/>
    <w:rsid w:val="00414CB5"/>
    <w:rsid w:val="00421C3D"/>
    <w:rsid w:val="00430D2C"/>
    <w:rsid w:val="00436AFD"/>
    <w:rsid w:val="00444211"/>
    <w:rsid w:val="00471B50"/>
    <w:rsid w:val="004771FF"/>
    <w:rsid w:val="00487749"/>
    <w:rsid w:val="004B1A74"/>
    <w:rsid w:val="004B217C"/>
    <w:rsid w:val="004B2880"/>
    <w:rsid w:val="004C6008"/>
    <w:rsid w:val="004D5371"/>
    <w:rsid w:val="004E5A75"/>
    <w:rsid w:val="00500A86"/>
    <w:rsid w:val="0050314C"/>
    <w:rsid w:val="005041DE"/>
    <w:rsid w:val="005057E1"/>
    <w:rsid w:val="005121EF"/>
    <w:rsid w:val="00523501"/>
    <w:rsid w:val="00533093"/>
    <w:rsid w:val="00574D12"/>
    <w:rsid w:val="00575C3C"/>
    <w:rsid w:val="005816C7"/>
    <w:rsid w:val="0058417C"/>
    <w:rsid w:val="0059448A"/>
    <w:rsid w:val="005C2B9C"/>
    <w:rsid w:val="005C3B23"/>
    <w:rsid w:val="005C62FF"/>
    <w:rsid w:val="005D2287"/>
    <w:rsid w:val="005E2335"/>
    <w:rsid w:val="005E59CF"/>
    <w:rsid w:val="00606B26"/>
    <w:rsid w:val="00612EA4"/>
    <w:rsid w:val="00616D75"/>
    <w:rsid w:val="006173F6"/>
    <w:rsid w:val="00625D68"/>
    <w:rsid w:val="0063010F"/>
    <w:rsid w:val="00633C2C"/>
    <w:rsid w:val="00642B2A"/>
    <w:rsid w:val="00643FA2"/>
    <w:rsid w:val="00645DB9"/>
    <w:rsid w:val="006464C8"/>
    <w:rsid w:val="00647351"/>
    <w:rsid w:val="0065551A"/>
    <w:rsid w:val="00672FCB"/>
    <w:rsid w:val="006C1F5E"/>
    <w:rsid w:val="006C205E"/>
    <w:rsid w:val="006D637D"/>
    <w:rsid w:val="006E0848"/>
    <w:rsid w:val="006E642F"/>
    <w:rsid w:val="006E6F2F"/>
    <w:rsid w:val="006F2A1A"/>
    <w:rsid w:val="006F5E21"/>
    <w:rsid w:val="007034DF"/>
    <w:rsid w:val="00703ED5"/>
    <w:rsid w:val="007202FD"/>
    <w:rsid w:val="007244E0"/>
    <w:rsid w:val="00731C56"/>
    <w:rsid w:val="00733390"/>
    <w:rsid w:val="00734431"/>
    <w:rsid w:val="00737F3F"/>
    <w:rsid w:val="007525CC"/>
    <w:rsid w:val="00754748"/>
    <w:rsid w:val="00765A81"/>
    <w:rsid w:val="00773950"/>
    <w:rsid w:val="00781A71"/>
    <w:rsid w:val="00784229"/>
    <w:rsid w:val="0078512B"/>
    <w:rsid w:val="007A788C"/>
    <w:rsid w:val="007B7E2F"/>
    <w:rsid w:val="007C2E84"/>
    <w:rsid w:val="007E01DE"/>
    <w:rsid w:val="007F5702"/>
    <w:rsid w:val="00801722"/>
    <w:rsid w:val="00801A12"/>
    <w:rsid w:val="008125F3"/>
    <w:rsid w:val="00817ED7"/>
    <w:rsid w:val="00825CC1"/>
    <w:rsid w:val="00826335"/>
    <w:rsid w:val="00826E36"/>
    <w:rsid w:val="00833245"/>
    <w:rsid w:val="008468BF"/>
    <w:rsid w:val="008633BA"/>
    <w:rsid w:val="00881D0F"/>
    <w:rsid w:val="0089331B"/>
    <w:rsid w:val="00894678"/>
    <w:rsid w:val="00895E80"/>
    <w:rsid w:val="008A192A"/>
    <w:rsid w:val="008A4D51"/>
    <w:rsid w:val="008B6C77"/>
    <w:rsid w:val="008E3BC8"/>
    <w:rsid w:val="008F3822"/>
    <w:rsid w:val="00907970"/>
    <w:rsid w:val="0091093E"/>
    <w:rsid w:val="00914D61"/>
    <w:rsid w:val="009248F5"/>
    <w:rsid w:val="00931BAA"/>
    <w:rsid w:val="0095315C"/>
    <w:rsid w:val="009613E5"/>
    <w:rsid w:val="00973143"/>
    <w:rsid w:val="00973BA3"/>
    <w:rsid w:val="00973D4F"/>
    <w:rsid w:val="009808C0"/>
    <w:rsid w:val="0098182B"/>
    <w:rsid w:val="00990AFE"/>
    <w:rsid w:val="00992A7D"/>
    <w:rsid w:val="00994A94"/>
    <w:rsid w:val="009B4436"/>
    <w:rsid w:val="009C653F"/>
    <w:rsid w:val="009D13E6"/>
    <w:rsid w:val="009F034B"/>
    <w:rsid w:val="009F15A9"/>
    <w:rsid w:val="009F3FD2"/>
    <w:rsid w:val="00A04E1C"/>
    <w:rsid w:val="00A23171"/>
    <w:rsid w:val="00A32F57"/>
    <w:rsid w:val="00A406F4"/>
    <w:rsid w:val="00A43DB6"/>
    <w:rsid w:val="00A444E8"/>
    <w:rsid w:val="00A55FE3"/>
    <w:rsid w:val="00A56B6F"/>
    <w:rsid w:val="00A8259D"/>
    <w:rsid w:val="00A83F05"/>
    <w:rsid w:val="00AA0AE6"/>
    <w:rsid w:val="00AA11D9"/>
    <w:rsid w:val="00AA4A54"/>
    <w:rsid w:val="00AB6A83"/>
    <w:rsid w:val="00AC7F0D"/>
    <w:rsid w:val="00B03675"/>
    <w:rsid w:val="00B05C07"/>
    <w:rsid w:val="00B07FB6"/>
    <w:rsid w:val="00B131C9"/>
    <w:rsid w:val="00B22A92"/>
    <w:rsid w:val="00B34C7C"/>
    <w:rsid w:val="00B42C84"/>
    <w:rsid w:val="00B5376D"/>
    <w:rsid w:val="00B549EC"/>
    <w:rsid w:val="00B574DD"/>
    <w:rsid w:val="00B57E5B"/>
    <w:rsid w:val="00B638C2"/>
    <w:rsid w:val="00B70308"/>
    <w:rsid w:val="00B766EA"/>
    <w:rsid w:val="00BA1754"/>
    <w:rsid w:val="00BB2652"/>
    <w:rsid w:val="00BC359B"/>
    <w:rsid w:val="00BD6070"/>
    <w:rsid w:val="00BE51DC"/>
    <w:rsid w:val="00C00806"/>
    <w:rsid w:val="00C06D4C"/>
    <w:rsid w:val="00C23F1D"/>
    <w:rsid w:val="00C263FE"/>
    <w:rsid w:val="00C27AF9"/>
    <w:rsid w:val="00C34280"/>
    <w:rsid w:val="00C35E29"/>
    <w:rsid w:val="00C60DF6"/>
    <w:rsid w:val="00C662F5"/>
    <w:rsid w:val="00C743D4"/>
    <w:rsid w:val="00C818A0"/>
    <w:rsid w:val="00C842D1"/>
    <w:rsid w:val="00C93940"/>
    <w:rsid w:val="00C96A6A"/>
    <w:rsid w:val="00CB52CC"/>
    <w:rsid w:val="00CB6384"/>
    <w:rsid w:val="00CC14F3"/>
    <w:rsid w:val="00CD08CF"/>
    <w:rsid w:val="00CE286E"/>
    <w:rsid w:val="00CE3EC1"/>
    <w:rsid w:val="00CF0C50"/>
    <w:rsid w:val="00D01101"/>
    <w:rsid w:val="00D026CA"/>
    <w:rsid w:val="00D11155"/>
    <w:rsid w:val="00D1687C"/>
    <w:rsid w:val="00D21AD0"/>
    <w:rsid w:val="00D306A2"/>
    <w:rsid w:val="00D335F9"/>
    <w:rsid w:val="00D35DD3"/>
    <w:rsid w:val="00D46A5B"/>
    <w:rsid w:val="00D51F58"/>
    <w:rsid w:val="00D54A2B"/>
    <w:rsid w:val="00D556FE"/>
    <w:rsid w:val="00D61DEF"/>
    <w:rsid w:val="00D87129"/>
    <w:rsid w:val="00D90E20"/>
    <w:rsid w:val="00D92265"/>
    <w:rsid w:val="00D941CF"/>
    <w:rsid w:val="00D94ACD"/>
    <w:rsid w:val="00DA3DB4"/>
    <w:rsid w:val="00DA4C1B"/>
    <w:rsid w:val="00DB4F56"/>
    <w:rsid w:val="00DB4FB2"/>
    <w:rsid w:val="00DD124D"/>
    <w:rsid w:val="00DF163B"/>
    <w:rsid w:val="00E03B9E"/>
    <w:rsid w:val="00E04770"/>
    <w:rsid w:val="00E10110"/>
    <w:rsid w:val="00E117B8"/>
    <w:rsid w:val="00E21742"/>
    <w:rsid w:val="00E24DA2"/>
    <w:rsid w:val="00E326F5"/>
    <w:rsid w:val="00E42131"/>
    <w:rsid w:val="00E53DEF"/>
    <w:rsid w:val="00E61AB7"/>
    <w:rsid w:val="00E64892"/>
    <w:rsid w:val="00E653A8"/>
    <w:rsid w:val="00E65C64"/>
    <w:rsid w:val="00E671C1"/>
    <w:rsid w:val="00E706AB"/>
    <w:rsid w:val="00E7076E"/>
    <w:rsid w:val="00E71552"/>
    <w:rsid w:val="00E870E2"/>
    <w:rsid w:val="00EA5618"/>
    <w:rsid w:val="00EB3622"/>
    <w:rsid w:val="00ED33D9"/>
    <w:rsid w:val="00EE1901"/>
    <w:rsid w:val="00EE38F2"/>
    <w:rsid w:val="00EE526B"/>
    <w:rsid w:val="00EF66CB"/>
    <w:rsid w:val="00F00943"/>
    <w:rsid w:val="00F13B47"/>
    <w:rsid w:val="00F177C3"/>
    <w:rsid w:val="00F2067A"/>
    <w:rsid w:val="00F23BBC"/>
    <w:rsid w:val="00F34BB5"/>
    <w:rsid w:val="00F470A3"/>
    <w:rsid w:val="00F5127E"/>
    <w:rsid w:val="00F54B9F"/>
    <w:rsid w:val="00F6458D"/>
    <w:rsid w:val="00F70E24"/>
    <w:rsid w:val="00F95448"/>
    <w:rsid w:val="00F956F9"/>
    <w:rsid w:val="00FA4055"/>
    <w:rsid w:val="00FA679C"/>
    <w:rsid w:val="00FA7544"/>
    <w:rsid w:val="00FB268E"/>
    <w:rsid w:val="00FE6321"/>
    <w:rsid w:val="00FE6686"/>
    <w:rsid w:val="00FE7D0D"/>
    <w:rsid w:val="00FF2403"/>
    <w:rsid w:val="00FF2AC9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D0BECED-FD25-4054-BD2C-96EBAB41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6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3C14B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3EC1"/>
    <w:rPr>
      <w:color w:val="0000FF" w:themeColor="hyperlink"/>
      <w:u w:val="single"/>
    </w:rPr>
  </w:style>
  <w:style w:type="paragraph" w:customStyle="1" w:styleId="Car">
    <w:name w:val="Car"/>
    <w:basedOn w:val="Normal"/>
    <w:rsid w:val="0063010F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10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nhideWhenUsed/>
    <w:rsid w:val="001E021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E0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1A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A54FB"/>
    <w:rPr>
      <w:b/>
      <w:bCs/>
    </w:rPr>
  </w:style>
  <w:style w:type="table" w:styleId="Cuadrculamedia1-nfasis1">
    <w:name w:val="Medium Grid 1 Accent 1"/>
    <w:basedOn w:val="Tablanormal"/>
    <w:uiPriority w:val="67"/>
    <w:rsid w:val="00645DB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3">
    <w:name w:val="Medium Grid 1 Accent 3"/>
    <w:basedOn w:val="Tablanormal"/>
    <w:uiPriority w:val="67"/>
    <w:rsid w:val="00645DB9"/>
    <w:pPr>
      <w:spacing w:after="0" w:line="240" w:lineRule="auto"/>
    </w:p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645DB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E63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321"/>
  </w:style>
  <w:style w:type="paragraph" w:styleId="Piedepgina">
    <w:name w:val="footer"/>
    <w:basedOn w:val="Normal"/>
    <w:link w:val="PiedepginaCar"/>
    <w:uiPriority w:val="99"/>
    <w:unhideWhenUsed/>
    <w:rsid w:val="00FE63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321"/>
  </w:style>
  <w:style w:type="character" w:styleId="Hipervnculovisitado">
    <w:name w:val="FollowedHyperlink"/>
    <w:basedOn w:val="Fuentedeprrafopredeter"/>
    <w:uiPriority w:val="99"/>
    <w:semiHidden/>
    <w:unhideWhenUsed/>
    <w:rsid w:val="0041207A"/>
    <w:rPr>
      <w:color w:val="800080" w:themeColor="followedHyperlink"/>
      <w:u w:val="single"/>
    </w:rPr>
  </w:style>
  <w:style w:type="table" w:styleId="Cuadrculadetablaclara">
    <w:name w:val="Grid Table Light"/>
    <w:basedOn w:val="Tablanormal"/>
    <w:uiPriority w:val="40"/>
    <w:rsid w:val="00FA40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1898">
                      <w:marLeft w:val="39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6700">
                          <w:marLeft w:val="375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a.gob.c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uopinion.cultura.gob.c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rmsiac.cultura.gob.c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ejodelacultura.cl/siac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ltura.gob.cl/sia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56B4-F851-4F43-9E34-44FD6853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3455</Words>
  <Characters>19007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servicio 2020</vt:lpstr>
    </vt:vector>
  </TitlesOfParts>
  <Company/>
  <LinksUpToDate>false</LinksUpToDate>
  <CharactersWithSpaces>22418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servicio 2020</dc:title>
  <dc:creator>andrea f</dc:creator>
  <cp:lastModifiedBy>Andrea Fernandez Gonzalez</cp:lastModifiedBy>
  <cp:revision>4</cp:revision>
  <cp:lastPrinted>2015-10-22T16:43:00Z</cp:lastPrinted>
  <dcterms:created xsi:type="dcterms:W3CDTF">2020-02-13T14:33:00Z</dcterms:created>
  <dcterms:modified xsi:type="dcterms:W3CDTF">2020-02-13T14:37:00Z</dcterms:modified>
</cp:coreProperties>
</file>