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C2" w:rsidRDefault="005701C2" w:rsidP="00D47199">
      <w:pPr>
        <w:spacing w:line="360" w:lineRule="auto"/>
        <w:contextualSpacing/>
        <w:rPr>
          <w:rFonts w:ascii="gobCL" w:hAnsi="gobCL" w:cstheme="minorHAnsi"/>
          <w:b/>
          <w:sz w:val="24"/>
          <w:szCs w:val="24"/>
          <w:lang w:val="es-ES"/>
        </w:rPr>
      </w:pPr>
    </w:p>
    <w:p w:rsidR="00D1687C" w:rsidRPr="00D47199" w:rsidRDefault="00092189" w:rsidP="00D47199">
      <w:pPr>
        <w:spacing w:line="360" w:lineRule="auto"/>
        <w:contextualSpacing/>
        <w:rPr>
          <w:rFonts w:ascii="gobCL" w:hAnsi="gobCL" w:cstheme="minorHAnsi"/>
          <w:b/>
          <w:sz w:val="24"/>
          <w:szCs w:val="24"/>
          <w:lang w:val="es-ES"/>
        </w:rPr>
      </w:pPr>
      <w:r w:rsidRPr="00D47199">
        <w:rPr>
          <w:rFonts w:ascii="gobCL" w:hAnsi="gobCL" w:cstheme="minorHAnsi"/>
          <w:b/>
          <w:sz w:val="24"/>
          <w:szCs w:val="24"/>
          <w:lang w:val="es-ES"/>
        </w:rPr>
        <w:t>¿QUIÉNES SOMOS?</w:t>
      </w:r>
    </w:p>
    <w:p w:rsidR="001712B2" w:rsidRPr="00D47199" w:rsidRDefault="001712B2" w:rsidP="005E1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contextualSpacing/>
        <w:jc w:val="both"/>
        <w:rPr>
          <w:rFonts w:ascii="gobCL" w:eastAsia="ヒラギノ角ゴ Pro W3" w:hAnsi="gobCL" w:cstheme="minorHAnsi"/>
          <w:color w:val="000000"/>
          <w:sz w:val="24"/>
          <w:szCs w:val="24"/>
          <w:highlight w:val="yellow"/>
          <w:lang w:val="es-ES_tradnl"/>
        </w:rPr>
      </w:pPr>
    </w:p>
    <w:p w:rsidR="00DA4C1B" w:rsidRPr="00D47199" w:rsidRDefault="00300F5B" w:rsidP="005E1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contextualSpacing/>
        <w:jc w:val="both"/>
        <w:rPr>
          <w:rFonts w:ascii="gobCL" w:hAnsi="gobCL" w:cstheme="minorHAnsi"/>
          <w:b/>
          <w:sz w:val="24"/>
          <w:szCs w:val="24"/>
          <w:lang w:val="es-ES"/>
        </w:rPr>
      </w:pPr>
      <w:r w:rsidRPr="00D47199">
        <w:rPr>
          <w:rFonts w:ascii="gobCL" w:hAnsi="gobCL"/>
          <w:sz w:val="24"/>
          <w:szCs w:val="24"/>
        </w:rPr>
        <w:t xml:space="preserve">El Ministerio de las Culturas, las Artes y el Patrimonio </w:t>
      </w:r>
      <w:r w:rsidR="009D4E5F" w:rsidRPr="00D47199">
        <w:rPr>
          <w:rFonts w:ascii="gobCL" w:hAnsi="gobCL"/>
          <w:sz w:val="24"/>
          <w:szCs w:val="24"/>
        </w:rPr>
        <w:t>es</w:t>
      </w:r>
      <w:r w:rsidRPr="00D47199">
        <w:rPr>
          <w:rFonts w:ascii="gobCL" w:hAnsi="gobCL"/>
          <w:sz w:val="24"/>
          <w:szCs w:val="24"/>
        </w:rPr>
        <w:t xml:space="preserve"> la Secretaría de Estado encargada de colaborar con el</w:t>
      </w:r>
      <w:r w:rsidR="00D47199" w:rsidRPr="00D47199">
        <w:rPr>
          <w:rFonts w:ascii="gobCL" w:hAnsi="gobCL"/>
          <w:sz w:val="24"/>
          <w:szCs w:val="24"/>
        </w:rPr>
        <w:t>/la</w:t>
      </w:r>
      <w:r w:rsidRPr="00D47199">
        <w:rPr>
          <w:rFonts w:ascii="gobCL" w:hAnsi="gobCL"/>
          <w:sz w:val="24"/>
          <w:szCs w:val="24"/>
        </w:rPr>
        <w:t xml:space="preserve"> Presidente</w:t>
      </w:r>
      <w:r w:rsidR="00D47199" w:rsidRPr="00D47199">
        <w:rPr>
          <w:rFonts w:ascii="gobCL" w:hAnsi="gobCL"/>
          <w:sz w:val="24"/>
          <w:szCs w:val="24"/>
        </w:rPr>
        <w:t>/a</w:t>
      </w:r>
      <w:r w:rsidRPr="00D47199">
        <w:rPr>
          <w:rFonts w:ascii="gobCL" w:hAnsi="gobCL"/>
          <w:sz w:val="24"/>
          <w:szCs w:val="24"/>
        </w:rPr>
        <w:t xml:space="preserve"> de la República en</w:t>
      </w:r>
      <w:r w:rsidR="005E156F">
        <w:rPr>
          <w:rFonts w:ascii="gobCL" w:hAnsi="gobCL"/>
          <w:sz w:val="24"/>
          <w:szCs w:val="24"/>
        </w:rPr>
        <w:t xml:space="preserve"> e</w:t>
      </w:r>
      <w:r w:rsidRPr="00D47199">
        <w:rPr>
          <w:rFonts w:ascii="gobCL" w:hAnsi="gobCL"/>
          <w:sz w:val="24"/>
          <w:szCs w:val="24"/>
        </w:rPr>
        <w:t>l diseño, formulación e implementación de políticas, planes y programas para contribuir al desarrollo cultural y patrimonial armónico y equitativo del país en toda su diversidad, reconociendo y valorando las culturas de los pueblos indígenas, la diversidad geográfica y las realidades e id</w:t>
      </w:r>
      <w:r w:rsidR="005E156F">
        <w:rPr>
          <w:rFonts w:ascii="gobCL" w:hAnsi="gobCL"/>
          <w:sz w:val="24"/>
          <w:szCs w:val="24"/>
        </w:rPr>
        <w:t>entidades regionales y locales</w:t>
      </w:r>
    </w:p>
    <w:p w:rsidR="005E156F" w:rsidRDefault="005E156F" w:rsidP="00D47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contextualSpacing/>
        <w:jc w:val="both"/>
        <w:rPr>
          <w:rFonts w:ascii="gobCL" w:hAnsi="gobCL" w:cstheme="minorHAnsi"/>
          <w:b/>
          <w:sz w:val="24"/>
          <w:szCs w:val="24"/>
          <w:lang w:val="es-ES"/>
        </w:rPr>
      </w:pPr>
    </w:p>
    <w:p w:rsidR="00D47199" w:rsidRPr="00D47199" w:rsidRDefault="00D47199" w:rsidP="00D47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contextualSpacing/>
        <w:jc w:val="both"/>
        <w:rPr>
          <w:rFonts w:ascii="gobCL" w:hAnsi="gobCL" w:cstheme="minorHAnsi"/>
          <w:b/>
          <w:sz w:val="24"/>
          <w:szCs w:val="24"/>
          <w:lang w:val="es-ES"/>
        </w:rPr>
      </w:pPr>
      <w:r w:rsidRPr="00D47199">
        <w:rPr>
          <w:rFonts w:ascii="gobCL" w:hAnsi="gobCL" w:cstheme="minorHAnsi"/>
          <w:b/>
          <w:sz w:val="24"/>
          <w:szCs w:val="24"/>
          <w:lang w:val="es-ES"/>
        </w:rPr>
        <w:t>¿QUÉ HACEMOS?</w:t>
      </w:r>
    </w:p>
    <w:p w:rsidR="00D47199" w:rsidRPr="00D47199" w:rsidRDefault="00D47199" w:rsidP="00D47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contextualSpacing/>
        <w:jc w:val="both"/>
        <w:rPr>
          <w:rFonts w:ascii="gobCL" w:hAnsi="gobCL" w:cstheme="minorHAnsi"/>
          <w:b/>
          <w:sz w:val="24"/>
          <w:szCs w:val="24"/>
          <w:lang w:val="es-ES"/>
        </w:rPr>
      </w:pPr>
    </w:p>
    <w:p w:rsidR="004D25C1" w:rsidRPr="00D47199" w:rsidRDefault="00D47199" w:rsidP="00D47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contextualSpacing/>
        <w:jc w:val="both"/>
        <w:rPr>
          <w:rFonts w:ascii="gobCL" w:hAnsi="gobCL" w:cstheme="minorHAnsi"/>
          <w:sz w:val="24"/>
          <w:szCs w:val="24"/>
          <w:lang w:val="es-ES"/>
        </w:rPr>
      </w:pPr>
      <w:r w:rsidRPr="00D47199">
        <w:rPr>
          <w:rFonts w:ascii="gobCL" w:hAnsi="gobCL" w:cstheme="minorHAnsi"/>
          <w:sz w:val="24"/>
          <w:szCs w:val="24"/>
          <w:lang w:val="es-ES"/>
        </w:rPr>
        <w:t xml:space="preserve">El Ministerio </w:t>
      </w:r>
      <w:r w:rsidR="005E156F">
        <w:rPr>
          <w:rFonts w:ascii="gobCL" w:hAnsi="gobCL" w:cstheme="minorHAnsi"/>
          <w:sz w:val="24"/>
          <w:szCs w:val="24"/>
          <w:lang w:val="es-ES"/>
        </w:rPr>
        <w:t xml:space="preserve">realiza sus funciones </w:t>
      </w:r>
      <w:r w:rsidRPr="00D47199">
        <w:rPr>
          <w:rFonts w:ascii="gobCL" w:hAnsi="gobCL" w:cstheme="minorHAnsi"/>
          <w:sz w:val="24"/>
          <w:szCs w:val="24"/>
          <w:lang w:val="es-ES"/>
        </w:rPr>
        <w:t xml:space="preserve">regido por los principios de </w:t>
      </w:r>
      <w:r w:rsidR="00373411">
        <w:rPr>
          <w:rFonts w:ascii="gobCL" w:hAnsi="gobCL" w:cstheme="minorHAnsi"/>
          <w:sz w:val="24"/>
          <w:szCs w:val="24"/>
          <w:lang w:val="es-ES"/>
        </w:rPr>
        <w:t>d</w:t>
      </w:r>
      <w:r w:rsidRPr="00D47199">
        <w:rPr>
          <w:rFonts w:ascii="gobCL" w:hAnsi="gobCL" w:cstheme="minorHAnsi"/>
          <w:sz w:val="24"/>
          <w:szCs w:val="24"/>
          <w:lang w:val="es-ES"/>
        </w:rPr>
        <w:t xml:space="preserve">iversidad </w:t>
      </w:r>
      <w:r w:rsidR="00373411">
        <w:rPr>
          <w:rFonts w:ascii="gobCL" w:hAnsi="gobCL" w:cstheme="minorHAnsi"/>
          <w:sz w:val="24"/>
          <w:szCs w:val="24"/>
          <w:lang w:val="es-ES"/>
        </w:rPr>
        <w:t>c</w:t>
      </w:r>
      <w:r w:rsidRPr="00D47199">
        <w:rPr>
          <w:rFonts w:ascii="gobCL" w:hAnsi="gobCL" w:cstheme="minorHAnsi"/>
          <w:sz w:val="24"/>
          <w:szCs w:val="24"/>
          <w:lang w:val="es-ES"/>
        </w:rPr>
        <w:t xml:space="preserve">ultural, </w:t>
      </w:r>
      <w:r w:rsidR="00373411">
        <w:rPr>
          <w:rFonts w:ascii="gobCL" w:hAnsi="gobCL" w:cstheme="minorHAnsi"/>
          <w:sz w:val="24"/>
          <w:szCs w:val="24"/>
          <w:lang w:val="es-ES"/>
        </w:rPr>
        <w:t>d</w:t>
      </w:r>
      <w:r w:rsidRPr="00D47199">
        <w:rPr>
          <w:rFonts w:ascii="gobCL" w:hAnsi="gobCL" w:cstheme="minorHAnsi"/>
          <w:sz w:val="24"/>
          <w:szCs w:val="24"/>
          <w:lang w:val="es-ES"/>
        </w:rPr>
        <w:t xml:space="preserve">emocracia y </w:t>
      </w:r>
      <w:r w:rsidR="00373411">
        <w:rPr>
          <w:rFonts w:ascii="gobCL" w:hAnsi="gobCL" w:cstheme="minorHAnsi"/>
          <w:sz w:val="24"/>
          <w:szCs w:val="24"/>
          <w:lang w:val="es-ES"/>
        </w:rPr>
        <w:t>p</w:t>
      </w:r>
      <w:r w:rsidRPr="00D47199">
        <w:rPr>
          <w:rFonts w:ascii="gobCL" w:hAnsi="gobCL" w:cstheme="minorHAnsi"/>
          <w:sz w:val="24"/>
          <w:szCs w:val="24"/>
          <w:lang w:val="es-ES"/>
        </w:rPr>
        <w:t xml:space="preserve">articipación, </w:t>
      </w:r>
      <w:r w:rsidR="000F7915" w:rsidRPr="00D47199">
        <w:rPr>
          <w:rFonts w:ascii="gobCL" w:hAnsi="gobCL" w:cstheme="minorHAnsi"/>
          <w:sz w:val="24"/>
          <w:szCs w:val="24"/>
          <w:lang w:val="es-ES"/>
        </w:rPr>
        <w:t>reconocimiento</w:t>
      </w:r>
      <w:r w:rsidRPr="00D47199">
        <w:rPr>
          <w:rFonts w:ascii="gobCL" w:hAnsi="gobCL" w:cstheme="minorHAnsi"/>
          <w:sz w:val="24"/>
          <w:szCs w:val="24"/>
          <w:lang w:val="es-ES"/>
        </w:rPr>
        <w:t xml:space="preserve"> cultural de los pueblos indígenas, respeto a la libertad de creación y valoración social de creadores y cultores, además del reconocimiento a las culturas territoriales, el respeto a los derechos de cultores y creadores, y la memoria histórica.</w:t>
      </w:r>
    </w:p>
    <w:p w:rsidR="00D47199" w:rsidRDefault="00D47199" w:rsidP="00D47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contextualSpacing/>
        <w:jc w:val="both"/>
        <w:rPr>
          <w:rFonts w:ascii="gobCL" w:hAnsi="gobCL" w:cstheme="minorHAnsi"/>
          <w:b/>
          <w:sz w:val="24"/>
          <w:szCs w:val="24"/>
          <w:lang w:val="es-ES"/>
        </w:rPr>
      </w:pPr>
    </w:p>
    <w:p w:rsidR="00373411" w:rsidRPr="00D47199" w:rsidRDefault="00373411" w:rsidP="00D47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contextualSpacing/>
        <w:jc w:val="both"/>
        <w:rPr>
          <w:rFonts w:ascii="gobCL" w:hAnsi="gobCL" w:cstheme="minorHAnsi"/>
          <w:b/>
          <w:sz w:val="24"/>
          <w:szCs w:val="24"/>
          <w:lang w:val="es-ES"/>
        </w:rPr>
      </w:pPr>
      <w:r>
        <w:rPr>
          <w:rFonts w:ascii="gobCL" w:hAnsi="gobCL" w:cstheme="minorHAnsi"/>
          <w:b/>
          <w:sz w:val="24"/>
          <w:szCs w:val="24"/>
          <w:lang w:val="es-ES"/>
        </w:rPr>
        <w:t>Bajo estos conceptos, nos comprometemos a:</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Style w:val="Textoennegrita"/>
          <w:rFonts w:ascii="gobCL" w:hAnsi="gobCL"/>
          <w:color w:val="333333"/>
        </w:rPr>
        <w:t>Diversidad cultural</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Fonts w:ascii="gobCL" w:hAnsi="gobCL"/>
          <w:color w:val="333333"/>
        </w:rPr>
        <w:t>Reconoce</w:t>
      </w:r>
      <w:r w:rsidR="005E156F">
        <w:rPr>
          <w:rFonts w:ascii="gobCL" w:hAnsi="gobCL"/>
          <w:color w:val="333333"/>
        </w:rPr>
        <w:t>r</w:t>
      </w:r>
      <w:r w:rsidRPr="00D47199">
        <w:rPr>
          <w:rFonts w:ascii="gobCL" w:hAnsi="gobCL"/>
          <w:color w:val="333333"/>
        </w:rPr>
        <w:t xml:space="preserve"> y prom</w:t>
      </w:r>
      <w:r w:rsidR="005E156F">
        <w:rPr>
          <w:rFonts w:ascii="gobCL" w:hAnsi="gobCL"/>
          <w:color w:val="333333"/>
        </w:rPr>
        <w:t xml:space="preserve">over </w:t>
      </w:r>
      <w:r w:rsidRPr="00D47199">
        <w:rPr>
          <w:rFonts w:ascii="gobCL" w:hAnsi="gobCL"/>
          <w:color w:val="333333"/>
        </w:rPr>
        <w:t>el respeto a la diversidad cultural, la interculturalidad, la dignidad y el respeto mutuo entre las diversas identidades que cohabitan en el territorio nacional como valores culturales fundamentales.</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Style w:val="Textoennegrita"/>
          <w:rFonts w:ascii="gobCL" w:hAnsi="gobCL"/>
          <w:color w:val="333333"/>
        </w:rPr>
        <w:t>Democracia y participación</w:t>
      </w:r>
    </w:p>
    <w:p w:rsidR="005E156F" w:rsidRDefault="005E156F" w:rsidP="00D47199">
      <w:pPr>
        <w:pStyle w:val="NormalWeb"/>
        <w:shd w:val="clear" w:color="auto" w:fill="FFFFFF"/>
        <w:spacing w:line="360" w:lineRule="auto"/>
        <w:jc w:val="both"/>
        <w:rPr>
          <w:rStyle w:val="Textoennegrita"/>
          <w:rFonts w:ascii="gobCL" w:hAnsi="gobCL"/>
          <w:color w:val="333333"/>
        </w:rPr>
      </w:pPr>
      <w:r>
        <w:rPr>
          <w:rFonts w:ascii="gobCL" w:hAnsi="gobCL"/>
          <w:color w:val="333333"/>
        </w:rPr>
        <w:t xml:space="preserve">Reconocer </w:t>
      </w:r>
      <w:r w:rsidR="00D47199" w:rsidRPr="00D47199">
        <w:rPr>
          <w:rFonts w:ascii="gobCL" w:hAnsi="gobCL"/>
          <w:color w:val="333333"/>
        </w:rPr>
        <w:t>que las personas y comunidades son creadores de contenidos, prácticas y obras con representación simbólica, con derecho a participar activamente en el desarrollo cultural del país; y tienen acceso social y territorialmente equitativo a los bienes, manifestaciones y servicios culturales.</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Style w:val="Textoennegrita"/>
          <w:rFonts w:ascii="gobCL" w:hAnsi="gobCL"/>
          <w:color w:val="333333"/>
        </w:rPr>
        <w:t>Reconocimiento cultural de los pueblos indígenas</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Fonts w:ascii="gobCL" w:hAnsi="gobCL"/>
          <w:color w:val="333333"/>
        </w:rPr>
        <w:t>Reconocer, respetar y promover las culturas de los pueblos indígenas, sus prácticas ancestrales, sus creencias, su historia y su cosmovisión, teniendo especial consideración con el desarrollo de la cultura, las artes y el patrimonio cultural indígena.</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Style w:val="Textoennegrita"/>
          <w:rFonts w:ascii="gobCL" w:hAnsi="gobCL"/>
          <w:color w:val="333333"/>
        </w:rPr>
        <w:lastRenderedPageBreak/>
        <w:t>Respeto a la libertad de creación y valoración social de los creadores y cultores</w:t>
      </w:r>
    </w:p>
    <w:p w:rsidR="00D47199" w:rsidRPr="00D47199" w:rsidRDefault="005E156F" w:rsidP="00D47199">
      <w:pPr>
        <w:pStyle w:val="NormalWeb"/>
        <w:shd w:val="clear" w:color="auto" w:fill="FFFFFF"/>
        <w:spacing w:line="360" w:lineRule="auto"/>
        <w:jc w:val="both"/>
        <w:rPr>
          <w:rFonts w:ascii="gobCL" w:hAnsi="gobCL"/>
          <w:color w:val="333333"/>
        </w:rPr>
      </w:pPr>
      <w:r>
        <w:rPr>
          <w:rFonts w:ascii="gobCL" w:hAnsi="gobCL"/>
          <w:color w:val="333333"/>
        </w:rPr>
        <w:t xml:space="preserve">Reconocer y </w:t>
      </w:r>
      <w:r w:rsidR="00D47199" w:rsidRPr="00D47199">
        <w:rPr>
          <w:rFonts w:ascii="gobCL" w:hAnsi="gobCL"/>
          <w:color w:val="333333"/>
        </w:rPr>
        <w:t xml:space="preserve"> prom</w:t>
      </w:r>
      <w:r>
        <w:rPr>
          <w:rFonts w:ascii="gobCL" w:hAnsi="gobCL"/>
          <w:color w:val="333333"/>
        </w:rPr>
        <w:t xml:space="preserve">over </w:t>
      </w:r>
      <w:r w:rsidR="00D47199" w:rsidRPr="00D47199">
        <w:rPr>
          <w:rFonts w:ascii="gobCL" w:hAnsi="gobCL"/>
          <w:color w:val="333333"/>
        </w:rPr>
        <w:t>el respeto a la libertad de creación y expresión de creadores y cultores, y a la valoración del rol social de estos en el desarrollo cultural del país.</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Style w:val="Textoennegrita"/>
          <w:rFonts w:ascii="gobCL" w:hAnsi="gobCL"/>
          <w:color w:val="333333"/>
        </w:rPr>
        <w:t>Reconocimiento de las culturas territoriales</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Fonts w:ascii="gobCL" w:hAnsi="gobCL"/>
          <w:color w:val="333333"/>
        </w:rPr>
        <w:t>Reconocer las particularidades e identidades culturales territoriales que se expresan, entre otros, a nivel comunal, provincial, y regional, como también en sectores urbanos y rurales; promoviendo y contribuyendo a la activa participación de cada comuna, provincia y región en el desarrollo cultural del país y de su respectivo territorio, fortaleciendo la desconcentración territorial en el diseño y ejecución de políticas, planes y programas en los ámbitos cultural y patrimonial.</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Style w:val="Textoennegrita"/>
          <w:rFonts w:ascii="gobCL" w:hAnsi="gobCL"/>
          <w:color w:val="333333"/>
        </w:rPr>
        <w:t>Reconocimiento del patrimonio cultural como bien público</w:t>
      </w:r>
    </w:p>
    <w:p w:rsidR="00D47199" w:rsidRPr="00D47199" w:rsidRDefault="005E156F" w:rsidP="00D47199">
      <w:pPr>
        <w:pStyle w:val="NormalWeb"/>
        <w:shd w:val="clear" w:color="auto" w:fill="FFFFFF"/>
        <w:spacing w:line="360" w:lineRule="auto"/>
        <w:jc w:val="both"/>
        <w:rPr>
          <w:rFonts w:ascii="gobCL" w:hAnsi="gobCL"/>
          <w:color w:val="333333"/>
        </w:rPr>
      </w:pPr>
      <w:r>
        <w:rPr>
          <w:rFonts w:ascii="gobCL" w:hAnsi="gobCL"/>
          <w:color w:val="333333"/>
        </w:rPr>
        <w:t>Reconocer que</w:t>
      </w:r>
      <w:r w:rsidR="00D47199" w:rsidRPr="00D47199">
        <w:rPr>
          <w:rFonts w:ascii="gobCL" w:hAnsi="gobCL"/>
          <w:color w:val="333333"/>
        </w:rPr>
        <w:t xml:space="preserve"> el patrimonio cultural, en toda su diversidad y pluralidad, es un bien público que constituye un espacio de reflexión, reconocimiento, construcción y reconstrucción de las identidades y de la identidad nacional.</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Style w:val="Textoennegrita"/>
          <w:rFonts w:ascii="gobCL" w:hAnsi="gobCL"/>
          <w:color w:val="333333"/>
        </w:rPr>
        <w:t>Respeto a los derechos de creadores y cultores.</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Fonts w:ascii="gobCL" w:hAnsi="gobCL"/>
          <w:color w:val="333333"/>
        </w:rPr>
        <w:t>Promover el respeto de los derechos de los creadores en materia de propiedad intelectual, así como también los derechos laborales consagrados en el ordenamiento jurídico chileno, de quienes trabajan en los ámbitos de las artes, las culturas y el patrimonio.</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Style w:val="Textoennegrita"/>
          <w:rFonts w:ascii="gobCL" w:hAnsi="gobCL"/>
          <w:color w:val="333333"/>
        </w:rPr>
        <w:t>Memoria histórica</w:t>
      </w:r>
    </w:p>
    <w:p w:rsidR="00D47199" w:rsidRPr="00D47199" w:rsidRDefault="00D47199" w:rsidP="00D47199">
      <w:pPr>
        <w:pStyle w:val="NormalWeb"/>
        <w:shd w:val="clear" w:color="auto" w:fill="FFFFFF"/>
        <w:spacing w:line="360" w:lineRule="auto"/>
        <w:jc w:val="both"/>
        <w:rPr>
          <w:rFonts w:ascii="gobCL" w:hAnsi="gobCL"/>
          <w:color w:val="333333"/>
        </w:rPr>
      </w:pPr>
      <w:r w:rsidRPr="00D47199">
        <w:rPr>
          <w:rFonts w:ascii="gobCL" w:hAnsi="gobCL"/>
          <w:color w:val="333333"/>
        </w:rPr>
        <w:t>Reconocer a la memoria histórica como pilar fundamental de la cultura y del patrimonio intangible del país, que se recrea y proyecta a sí misma en un permanente respeto a los derechos humanos, la diversidad, la tolerancia, la democracia y el Estado de Derecho.</w:t>
      </w:r>
    </w:p>
    <w:p w:rsidR="00F16F47" w:rsidRPr="00D47199" w:rsidRDefault="00F16F47" w:rsidP="00D47199">
      <w:pPr>
        <w:spacing w:line="360" w:lineRule="auto"/>
        <w:contextualSpacing/>
        <w:jc w:val="center"/>
        <w:rPr>
          <w:rFonts w:ascii="gobCL" w:eastAsia="Times New Roman" w:hAnsi="gobCL" w:cs="Calibri"/>
          <w:b/>
          <w:color w:val="000000"/>
          <w:sz w:val="24"/>
          <w:szCs w:val="24"/>
          <w:lang w:eastAsia="es-CL"/>
        </w:rPr>
      </w:pPr>
    </w:p>
    <w:p w:rsidR="006F70F9" w:rsidRDefault="006F70F9" w:rsidP="00D47199">
      <w:pPr>
        <w:spacing w:line="360" w:lineRule="auto"/>
        <w:contextualSpacing/>
        <w:rPr>
          <w:rFonts w:ascii="gobCL" w:hAnsi="gobCL" w:cstheme="minorHAnsi"/>
          <w:b/>
          <w:sz w:val="24"/>
          <w:szCs w:val="24"/>
          <w:lang w:val="es-ES"/>
        </w:rPr>
      </w:pPr>
    </w:p>
    <w:p w:rsidR="006F70F9" w:rsidRDefault="006F70F9" w:rsidP="00D47199">
      <w:pPr>
        <w:spacing w:line="360" w:lineRule="auto"/>
        <w:contextualSpacing/>
        <w:rPr>
          <w:rFonts w:ascii="gobCL" w:hAnsi="gobCL" w:cstheme="minorHAnsi"/>
          <w:b/>
          <w:sz w:val="24"/>
          <w:szCs w:val="24"/>
          <w:lang w:val="es-ES"/>
        </w:rPr>
      </w:pPr>
    </w:p>
    <w:p w:rsidR="006F70F9" w:rsidRDefault="006F70F9" w:rsidP="00D47199">
      <w:pPr>
        <w:spacing w:line="360" w:lineRule="auto"/>
        <w:contextualSpacing/>
        <w:rPr>
          <w:rFonts w:ascii="gobCL" w:hAnsi="gobCL" w:cstheme="minorHAnsi"/>
          <w:b/>
          <w:sz w:val="24"/>
          <w:szCs w:val="24"/>
          <w:lang w:val="es-ES"/>
        </w:rPr>
      </w:pPr>
    </w:p>
    <w:p w:rsidR="006F70F9" w:rsidRDefault="006F70F9" w:rsidP="00D47199">
      <w:pPr>
        <w:spacing w:line="360" w:lineRule="auto"/>
        <w:contextualSpacing/>
        <w:rPr>
          <w:rFonts w:ascii="gobCL" w:hAnsi="gobCL" w:cstheme="minorHAnsi"/>
          <w:b/>
          <w:sz w:val="24"/>
          <w:szCs w:val="24"/>
          <w:lang w:val="es-ES"/>
        </w:rPr>
      </w:pPr>
    </w:p>
    <w:p w:rsidR="006F70F9" w:rsidRDefault="006F70F9" w:rsidP="00D47199">
      <w:pPr>
        <w:spacing w:line="360" w:lineRule="auto"/>
        <w:contextualSpacing/>
        <w:rPr>
          <w:rFonts w:ascii="gobCL" w:hAnsi="gobCL" w:cstheme="minorHAnsi"/>
          <w:b/>
          <w:sz w:val="24"/>
          <w:szCs w:val="24"/>
          <w:lang w:val="es-ES"/>
        </w:rPr>
      </w:pPr>
    </w:p>
    <w:p w:rsidR="00C60DF6" w:rsidRPr="00D47199" w:rsidRDefault="00092189" w:rsidP="00D47199">
      <w:pPr>
        <w:spacing w:line="360" w:lineRule="auto"/>
        <w:contextualSpacing/>
        <w:rPr>
          <w:rFonts w:ascii="gobCL" w:hAnsi="gobCL" w:cstheme="minorHAnsi"/>
          <w:b/>
          <w:sz w:val="24"/>
          <w:szCs w:val="24"/>
          <w:lang w:val="es-ES"/>
        </w:rPr>
      </w:pPr>
      <w:r w:rsidRPr="00D47199">
        <w:rPr>
          <w:rFonts w:ascii="gobCL" w:hAnsi="gobCL" w:cstheme="minorHAnsi"/>
          <w:b/>
          <w:sz w:val="24"/>
          <w:szCs w:val="24"/>
          <w:lang w:val="es-ES"/>
        </w:rPr>
        <w:t>¿CUÁL ES NUESTRO COMPROMISO</w:t>
      </w:r>
      <w:r w:rsidR="005E156F">
        <w:rPr>
          <w:rFonts w:ascii="gobCL" w:hAnsi="gobCL" w:cstheme="minorHAnsi"/>
          <w:b/>
          <w:sz w:val="24"/>
          <w:szCs w:val="24"/>
          <w:lang w:val="es-ES"/>
        </w:rPr>
        <w:t xml:space="preserve"> CON LAS PERSONAS Y LA COMUNIDAD</w:t>
      </w:r>
      <w:r w:rsidRPr="00D47199">
        <w:rPr>
          <w:rFonts w:ascii="gobCL" w:hAnsi="gobCL" w:cstheme="minorHAnsi"/>
          <w:b/>
          <w:sz w:val="24"/>
          <w:szCs w:val="24"/>
          <w:lang w:val="es-ES"/>
        </w:rPr>
        <w:t>?</w:t>
      </w:r>
    </w:p>
    <w:p w:rsidR="00D62FB1" w:rsidRPr="005E156F" w:rsidRDefault="00D62FB1" w:rsidP="00D47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contextualSpacing/>
        <w:jc w:val="both"/>
        <w:rPr>
          <w:rFonts w:ascii="gobCL" w:hAnsi="gobCL"/>
          <w:sz w:val="24"/>
          <w:szCs w:val="24"/>
          <w:lang w:val="es-ES"/>
        </w:rPr>
      </w:pPr>
    </w:p>
    <w:p w:rsidR="00D67D58" w:rsidRPr="00D47199" w:rsidRDefault="00D67D58" w:rsidP="00D47199">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 xml:space="preserve">Entregar información clara, comprensible, de fácil interpretación y actualizada sobre el funcionamiento y los servicios que ofrece el </w:t>
      </w:r>
      <w:r w:rsidR="00F871F7" w:rsidRPr="00D47199">
        <w:rPr>
          <w:rFonts w:ascii="gobCL" w:hAnsi="gobCL"/>
          <w:sz w:val="24"/>
          <w:szCs w:val="24"/>
        </w:rPr>
        <w:t>Ministerio</w:t>
      </w:r>
      <w:r w:rsidRPr="00D47199">
        <w:rPr>
          <w:rFonts w:ascii="gobCL" w:hAnsi="gobCL"/>
          <w:sz w:val="24"/>
          <w:szCs w:val="24"/>
        </w:rPr>
        <w:t xml:space="preserve">. </w:t>
      </w:r>
    </w:p>
    <w:p w:rsidR="00D62FB1" w:rsidRPr="00D47199" w:rsidRDefault="00D67D58" w:rsidP="00D47199">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Contar con espacios presenciales, telefónicos y virtuales para recibir y tratar las consultas, reclamos, sugerencias y felicitaciones.</w:t>
      </w:r>
    </w:p>
    <w:p w:rsidR="00D67D58" w:rsidRPr="00D47199" w:rsidRDefault="00D67D58" w:rsidP="00D47199">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Responder en 48 horas consultas simples. Responder en 10 días hábiles solicitudes de informes, dictámenes u otras actuaciones similares. Responder en 20 días solicitudes de decisiones definitivas, en todo lo anterior, garantizando el cumplimiento de la Ley de Procedimientos Administrativos, ley 19.880.</w:t>
      </w:r>
    </w:p>
    <w:p w:rsidR="00D67D58" w:rsidRPr="00D47199" w:rsidRDefault="00D67D58" w:rsidP="00D47199">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Cumplir procedimientos y tomar decisiones de manera igualitaria e imparcial.</w:t>
      </w:r>
    </w:p>
    <w:p w:rsidR="0072696A" w:rsidRPr="00D47199" w:rsidRDefault="0072696A" w:rsidP="00D47199">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Fomentar la participación ciudadana en el marco de una relación de compromiso mutuo entre el Servicio y la ciudadanía</w:t>
      </w:r>
      <w:r w:rsidR="006A182D" w:rsidRPr="00D47199">
        <w:rPr>
          <w:rFonts w:ascii="gobCL" w:hAnsi="gobCL"/>
          <w:sz w:val="24"/>
          <w:szCs w:val="24"/>
        </w:rPr>
        <w:t xml:space="preserve"> a través de los mecanismos de participación establecidos en la </w:t>
      </w:r>
      <w:r w:rsidR="0055458B" w:rsidRPr="00D47199">
        <w:rPr>
          <w:rFonts w:ascii="gobCL" w:hAnsi="gobCL"/>
          <w:sz w:val="24"/>
          <w:szCs w:val="24"/>
        </w:rPr>
        <w:t xml:space="preserve">Ley de </w:t>
      </w:r>
      <w:r w:rsidR="006A182D" w:rsidRPr="00D47199">
        <w:rPr>
          <w:rFonts w:ascii="gobCL" w:hAnsi="gobCL"/>
          <w:sz w:val="24"/>
          <w:szCs w:val="24"/>
        </w:rPr>
        <w:t xml:space="preserve">Participación </w:t>
      </w:r>
      <w:r w:rsidR="0077369C" w:rsidRPr="00D47199">
        <w:rPr>
          <w:rFonts w:ascii="gobCL" w:hAnsi="gobCL"/>
          <w:sz w:val="24"/>
          <w:szCs w:val="24"/>
        </w:rPr>
        <w:t>Ciudadana.</w:t>
      </w:r>
      <w:r w:rsidR="006A182D" w:rsidRPr="00D47199">
        <w:rPr>
          <w:rFonts w:ascii="gobCL" w:hAnsi="gobCL"/>
          <w:sz w:val="24"/>
          <w:szCs w:val="24"/>
        </w:rPr>
        <w:t xml:space="preserve"> </w:t>
      </w:r>
    </w:p>
    <w:p w:rsidR="0072696A" w:rsidRPr="00D47199" w:rsidRDefault="0072696A" w:rsidP="00D47199">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Tener a disposición de la ciudadanía una carta de servicios con información del quehacer institucional.</w:t>
      </w:r>
    </w:p>
    <w:p w:rsidR="0072696A" w:rsidRPr="00D47199" w:rsidRDefault="0072696A" w:rsidP="00D47199">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Instaurar mecanismos de medición de la satisfacción de la ciudadanía respecto de los servicios entregados</w:t>
      </w:r>
      <w:r w:rsidR="00D67D58" w:rsidRPr="00D47199">
        <w:rPr>
          <w:rFonts w:ascii="gobCL" w:hAnsi="gobCL"/>
          <w:sz w:val="24"/>
          <w:szCs w:val="24"/>
        </w:rPr>
        <w:t>.</w:t>
      </w:r>
    </w:p>
    <w:p w:rsidR="005E156F" w:rsidRDefault="005E156F">
      <w:pPr>
        <w:rPr>
          <w:rFonts w:ascii="gobCL" w:hAnsi="gobCL" w:cstheme="minorHAnsi"/>
          <w:b/>
          <w:sz w:val="24"/>
          <w:szCs w:val="24"/>
          <w:lang w:val="es-ES"/>
        </w:rPr>
      </w:pPr>
      <w:r>
        <w:rPr>
          <w:rFonts w:ascii="gobCL" w:hAnsi="gobCL" w:cstheme="minorHAnsi"/>
          <w:b/>
          <w:sz w:val="24"/>
          <w:szCs w:val="24"/>
          <w:lang w:val="es-ES"/>
        </w:rPr>
        <w:br w:type="page"/>
      </w:r>
    </w:p>
    <w:p w:rsidR="00D47199" w:rsidRPr="00D47199" w:rsidRDefault="00D47199" w:rsidP="005E156F">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ind w:left="360"/>
        <w:jc w:val="both"/>
        <w:rPr>
          <w:rFonts w:ascii="gobCL" w:hAnsi="gobCL" w:cstheme="minorHAnsi"/>
          <w:b/>
          <w:sz w:val="24"/>
          <w:szCs w:val="24"/>
          <w:lang w:val="es-ES"/>
        </w:rPr>
      </w:pPr>
    </w:p>
    <w:p w:rsidR="00C60DF6" w:rsidRPr="00D47199" w:rsidRDefault="00092189" w:rsidP="005E156F">
      <w:pPr>
        <w:spacing w:line="360" w:lineRule="auto"/>
        <w:contextualSpacing/>
        <w:jc w:val="both"/>
        <w:rPr>
          <w:rFonts w:ascii="gobCL" w:hAnsi="gobCL" w:cstheme="minorHAnsi"/>
          <w:b/>
          <w:color w:val="000000" w:themeColor="text1"/>
          <w:sz w:val="24"/>
          <w:szCs w:val="24"/>
          <w:lang w:val="es-ES"/>
        </w:rPr>
      </w:pPr>
      <w:r w:rsidRPr="00D47199">
        <w:rPr>
          <w:rFonts w:ascii="gobCL" w:hAnsi="gobCL" w:cstheme="minorHAnsi"/>
          <w:b/>
          <w:color w:val="000000" w:themeColor="text1"/>
          <w:sz w:val="24"/>
          <w:szCs w:val="24"/>
          <w:lang w:val="es-ES"/>
        </w:rPr>
        <w:t>¿CUÁL</w:t>
      </w:r>
      <w:r w:rsidR="0055458B" w:rsidRPr="00D47199">
        <w:rPr>
          <w:rFonts w:ascii="gobCL" w:hAnsi="gobCL" w:cstheme="minorHAnsi"/>
          <w:b/>
          <w:color w:val="000000" w:themeColor="text1"/>
          <w:sz w:val="24"/>
          <w:szCs w:val="24"/>
          <w:lang w:val="es-ES"/>
        </w:rPr>
        <w:t xml:space="preserve">ES SON </w:t>
      </w:r>
      <w:r w:rsidR="005E156F">
        <w:rPr>
          <w:rFonts w:ascii="gobCL" w:hAnsi="gobCL" w:cstheme="minorHAnsi"/>
          <w:b/>
          <w:color w:val="000000" w:themeColor="text1"/>
          <w:sz w:val="24"/>
          <w:szCs w:val="24"/>
          <w:lang w:val="es-ES"/>
        </w:rPr>
        <w:t xml:space="preserve">LOS </w:t>
      </w:r>
      <w:r w:rsidR="008D2324" w:rsidRPr="00D47199">
        <w:rPr>
          <w:rFonts w:ascii="gobCL" w:hAnsi="gobCL" w:cstheme="minorHAnsi"/>
          <w:b/>
          <w:color w:val="000000" w:themeColor="text1"/>
          <w:sz w:val="24"/>
          <w:szCs w:val="24"/>
          <w:lang w:val="es-ES"/>
        </w:rPr>
        <w:t xml:space="preserve"> DERECHOS </w:t>
      </w:r>
      <w:r w:rsidR="005E156F">
        <w:rPr>
          <w:rFonts w:ascii="gobCL" w:hAnsi="gobCL" w:cstheme="minorHAnsi"/>
          <w:b/>
          <w:color w:val="000000" w:themeColor="text1"/>
          <w:sz w:val="24"/>
          <w:szCs w:val="24"/>
          <w:lang w:val="es-ES"/>
        </w:rPr>
        <w:t xml:space="preserve">DE LAS PERSONAS </w:t>
      </w:r>
      <w:r w:rsidR="0055458B" w:rsidRPr="00D47199">
        <w:rPr>
          <w:rFonts w:ascii="gobCL" w:hAnsi="gobCL" w:cstheme="minorHAnsi"/>
          <w:b/>
          <w:color w:val="000000" w:themeColor="text1"/>
          <w:sz w:val="24"/>
          <w:szCs w:val="24"/>
          <w:lang w:val="es-ES"/>
        </w:rPr>
        <w:t xml:space="preserve">ANTE EL </w:t>
      </w:r>
      <w:r w:rsidR="008D2324" w:rsidRPr="00D47199">
        <w:rPr>
          <w:rFonts w:ascii="gobCL" w:hAnsi="gobCL" w:cstheme="minorHAnsi"/>
          <w:b/>
          <w:color w:val="000000" w:themeColor="text1"/>
          <w:sz w:val="24"/>
          <w:szCs w:val="24"/>
          <w:lang w:val="es-ES"/>
        </w:rPr>
        <w:t>MINISTERIO DE LAS CULTURAS, LAS ARTES Y EL PATRIMONIO</w:t>
      </w:r>
      <w:r w:rsidRPr="00D47199">
        <w:rPr>
          <w:rFonts w:ascii="gobCL" w:hAnsi="gobCL" w:cstheme="minorHAnsi"/>
          <w:b/>
          <w:color w:val="000000" w:themeColor="text1"/>
          <w:sz w:val="24"/>
          <w:szCs w:val="24"/>
          <w:lang w:val="es-ES"/>
        </w:rPr>
        <w:t>?</w:t>
      </w:r>
    </w:p>
    <w:p w:rsidR="00FE414C" w:rsidRPr="00D47199" w:rsidRDefault="00B05C07"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Recibir buen trato</w:t>
      </w:r>
      <w:r w:rsidR="00742A66" w:rsidRPr="00D47199">
        <w:rPr>
          <w:rFonts w:ascii="gobCL" w:hAnsi="gobCL"/>
          <w:sz w:val="24"/>
          <w:szCs w:val="24"/>
        </w:rPr>
        <w:t xml:space="preserve"> y</w:t>
      </w:r>
      <w:r w:rsidR="00C60DF6" w:rsidRPr="00D47199">
        <w:rPr>
          <w:rFonts w:ascii="gobCL" w:hAnsi="gobCL"/>
          <w:sz w:val="24"/>
          <w:szCs w:val="24"/>
        </w:rPr>
        <w:t xml:space="preserve"> facilidades en la atención</w:t>
      </w:r>
      <w:r w:rsidR="00FE414C" w:rsidRPr="00D47199">
        <w:rPr>
          <w:rFonts w:ascii="gobCL" w:hAnsi="gobCL"/>
          <w:sz w:val="24"/>
          <w:szCs w:val="24"/>
        </w:rPr>
        <w:t>.</w:t>
      </w:r>
    </w:p>
    <w:p w:rsidR="00A95056" w:rsidRPr="00D47199" w:rsidRDefault="00A95056"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Recibir trato igualitario, sin preferencias o discriminación de ningún tipo.</w:t>
      </w:r>
    </w:p>
    <w:p w:rsidR="00C60DF6" w:rsidRPr="00D47199" w:rsidRDefault="00FE414C"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G</w:t>
      </w:r>
      <w:r w:rsidR="00B05C07" w:rsidRPr="00D47199">
        <w:rPr>
          <w:rFonts w:ascii="gobCL" w:hAnsi="gobCL"/>
          <w:sz w:val="24"/>
          <w:szCs w:val="24"/>
        </w:rPr>
        <w:t xml:space="preserve">ratuidad en </w:t>
      </w:r>
      <w:r w:rsidRPr="00D47199">
        <w:rPr>
          <w:rFonts w:ascii="gobCL" w:hAnsi="gobCL"/>
          <w:sz w:val="24"/>
          <w:szCs w:val="24"/>
        </w:rPr>
        <w:t xml:space="preserve">la entrega de los </w:t>
      </w:r>
      <w:r w:rsidR="00B05C07" w:rsidRPr="00D47199">
        <w:rPr>
          <w:rFonts w:ascii="gobCL" w:hAnsi="gobCL"/>
          <w:sz w:val="24"/>
          <w:szCs w:val="24"/>
        </w:rPr>
        <w:t>servicios</w:t>
      </w:r>
      <w:r w:rsidRPr="00D47199">
        <w:rPr>
          <w:rFonts w:ascii="gobCL" w:hAnsi="gobCL"/>
          <w:sz w:val="24"/>
          <w:szCs w:val="24"/>
        </w:rPr>
        <w:t xml:space="preserve"> salvo las excepciones normativas en el marco de la Ley de Acceso a la Información Pública.</w:t>
      </w:r>
    </w:p>
    <w:p w:rsidR="00406D31" w:rsidRPr="00D47199" w:rsidRDefault="00406D31"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Recibir una atención que cumpla con horarios, tiempos y plazos establecidos.</w:t>
      </w:r>
      <w:r w:rsidR="00FE414C" w:rsidRPr="00D47199">
        <w:rPr>
          <w:rFonts w:ascii="gobCL" w:hAnsi="gobCL"/>
          <w:sz w:val="24"/>
          <w:szCs w:val="24"/>
        </w:rPr>
        <w:t xml:space="preserve"> Asimismo exigir el cumplimiento de </w:t>
      </w:r>
      <w:r w:rsidR="005B2EBC" w:rsidRPr="00D47199">
        <w:rPr>
          <w:rFonts w:ascii="gobCL" w:hAnsi="gobCL"/>
          <w:sz w:val="24"/>
          <w:szCs w:val="24"/>
        </w:rPr>
        <w:t>estos.</w:t>
      </w:r>
    </w:p>
    <w:p w:rsidR="00742A66" w:rsidRPr="00D47199" w:rsidRDefault="00742A66"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Conocer donde se ubican y quienes son los/las responsables de los espacios de atención con que cuenta el</w:t>
      </w:r>
      <w:r w:rsidR="00C1176E" w:rsidRPr="00D47199">
        <w:rPr>
          <w:rFonts w:ascii="gobCL" w:hAnsi="gobCL"/>
          <w:sz w:val="24"/>
          <w:szCs w:val="24"/>
        </w:rPr>
        <w:t xml:space="preserve"> Ministerio</w:t>
      </w:r>
      <w:r w:rsidR="005B2EBC" w:rsidRPr="00D47199">
        <w:rPr>
          <w:rFonts w:ascii="gobCL" w:hAnsi="gobCL"/>
          <w:sz w:val="24"/>
          <w:szCs w:val="24"/>
        </w:rPr>
        <w:t>.</w:t>
      </w:r>
      <w:r w:rsidRPr="00D47199">
        <w:rPr>
          <w:rFonts w:ascii="gobCL" w:hAnsi="gobCL"/>
          <w:sz w:val="24"/>
          <w:szCs w:val="24"/>
        </w:rPr>
        <w:t xml:space="preserve"> </w:t>
      </w:r>
    </w:p>
    <w:p w:rsidR="00742A66" w:rsidRPr="00D47199" w:rsidRDefault="00742A66"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Exigir confidencialidad y uso adecuado de datos; y, presentar sólo información necesaria conforme a procedimiento y/o normativa vigente.</w:t>
      </w:r>
    </w:p>
    <w:p w:rsidR="009054D4" w:rsidRPr="00D47199" w:rsidRDefault="00742A66"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Acceder a información  actualizada sobre el estado de tramitación  de su solicitud.</w:t>
      </w:r>
    </w:p>
    <w:p w:rsidR="00742A66" w:rsidRPr="00D47199" w:rsidRDefault="00742A66"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Transparencia e imparcialidad en procedimientos y decisiones.</w:t>
      </w:r>
    </w:p>
    <w:p w:rsidR="00406D31" w:rsidRPr="00D47199" w:rsidRDefault="00406D31"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Acceder a toda la información pública necesaria, incluida la relacionada con las políticas, planes, programas y proyectos implementados por el Servicio.</w:t>
      </w:r>
    </w:p>
    <w:p w:rsidR="00C60DF6" w:rsidRPr="00D47199" w:rsidRDefault="00C60DF6"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Identificar a la persona responsable de la tramitación</w:t>
      </w:r>
      <w:r w:rsidR="0072696A" w:rsidRPr="00D47199">
        <w:rPr>
          <w:rFonts w:ascii="gobCL" w:hAnsi="gobCL"/>
          <w:sz w:val="24"/>
          <w:szCs w:val="24"/>
        </w:rPr>
        <w:t xml:space="preserve"> de las solicitudes realizada en nuestros espacios de atención</w:t>
      </w:r>
      <w:r w:rsidR="00FE414C" w:rsidRPr="00D47199">
        <w:rPr>
          <w:rFonts w:ascii="gobCL" w:hAnsi="gobCL"/>
          <w:sz w:val="24"/>
          <w:szCs w:val="24"/>
        </w:rPr>
        <w:t>.</w:t>
      </w:r>
    </w:p>
    <w:p w:rsidR="00406D31" w:rsidRPr="00D47199" w:rsidRDefault="00406D31"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Impugnar las resoluciones de la institución y obtener una respuesta clara y fundamentada.</w:t>
      </w:r>
    </w:p>
    <w:p w:rsidR="00C60DF6" w:rsidRPr="00D47199" w:rsidRDefault="008E1E14" w:rsidP="00D47199">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 xml:space="preserve">Expresar sugerencias, </w:t>
      </w:r>
      <w:r w:rsidR="00C60DF6" w:rsidRPr="00D47199">
        <w:rPr>
          <w:rFonts w:ascii="gobCL" w:hAnsi="gobCL"/>
          <w:sz w:val="24"/>
          <w:szCs w:val="24"/>
        </w:rPr>
        <w:t>reclamos</w:t>
      </w:r>
      <w:r w:rsidR="00742A66" w:rsidRPr="00D47199">
        <w:rPr>
          <w:rFonts w:ascii="gobCL" w:hAnsi="gobCL"/>
          <w:sz w:val="24"/>
          <w:szCs w:val="24"/>
        </w:rPr>
        <w:t xml:space="preserve"> y felicitaciones</w:t>
      </w:r>
      <w:r w:rsidR="00FE414C" w:rsidRPr="00D47199">
        <w:rPr>
          <w:rFonts w:ascii="gobCL" w:hAnsi="gobCL"/>
          <w:sz w:val="24"/>
          <w:szCs w:val="24"/>
        </w:rPr>
        <w:t>.</w:t>
      </w:r>
    </w:p>
    <w:p w:rsidR="00BE0CD6" w:rsidRPr="00D47199" w:rsidRDefault="00437D66" w:rsidP="00D47199">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Evaluar  el servicio y la</w:t>
      </w:r>
      <w:r w:rsidR="00BE0CD6" w:rsidRPr="00D47199">
        <w:rPr>
          <w:rFonts w:ascii="gobCL" w:hAnsi="gobCL"/>
          <w:sz w:val="24"/>
          <w:szCs w:val="24"/>
        </w:rPr>
        <w:t xml:space="preserve"> atención </w:t>
      </w:r>
      <w:r w:rsidRPr="00D47199">
        <w:rPr>
          <w:rFonts w:ascii="gobCL" w:hAnsi="gobCL"/>
          <w:sz w:val="24"/>
          <w:szCs w:val="24"/>
        </w:rPr>
        <w:t>recibida</w:t>
      </w:r>
      <w:r w:rsidR="00BE0CD6" w:rsidRPr="00D47199">
        <w:rPr>
          <w:rFonts w:ascii="gobCL" w:hAnsi="gobCL"/>
          <w:sz w:val="24"/>
          <w:szCs w:val="24"/>
        </w:rPr>
        <w:t xml:space="preserve"> mediante la encuesta de satisfacción ciudadana</w:t>
      </w:r>
      <w:r w:rsidR="002F752F" w:rsidRPr="00D47199">
        <w:rPr>
          <w:rFonts w:ascii="gobCL" w:hAnsi="gobCL"/>
          <w:sz w:val="24"/>
          <w:szCs w:val="24"/>
        </w:rPr>
        <w:t>.</w:t>
      </w:r>
    </w:p>
    <w:p w:rsidR="00406D31" w:rsidRPr="00D47199" w:rsidRDefault="00406D31" w:rsidP="00D47199">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Exigir las responsabilidades de la Administración Pública y del personal a su servicio, cuando así corresponda legalmente</w:t>
      </w:r>
      <w:r w:rsidR="00FE414C" w:rsidRPr="00D47199">
        <w:rPr>
          <w:rFonts w:ascii="gobCL" w:hAnsi="gobCL"/>
          <w:sz w:val="24"/>
          <w:szCs w:val="24"/>
        </w:rPr>
        <w:t>.</w:t>
      </w:r>
    </w:p>
    <w:p w:rsidR="00FE414C" w:rsidRPr="00D47199" w:rsidRDefault="00FE414C" w:rsidP="00D47199">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 xml:space="preserve">Derecho a solicitar y a recibir información  del </w:t>
      </w:r>
      <w:r w:rsidR="00982CA3" w:rsidRPr="00D47199">
        <w:rPr>
          <w:rFonts w:ascii="gobCL" w:hAnsi="gobCL"/>
          <w:sz w:val="24"/>
          <w:szCs w:val="24"/>
        </w:rPr>
        <w:t xml:space="preserve">Ministerio </w:t>
      </w:r>
      <w:r w:rsidRPr="00D47199">
        <w:rPr>
          <w:rFonts w:ascii="gobCL" w:hAnsi="gobCL"/>
          <w:sz w:val="24"/>
          <w:szCs w:val="24"/>
        </w:rPr>
        <w:t>en la forma y condiciones que establece la Ley  sobre Acceso a la Información Pública ya sea a través de la página Web institucional, banner “Gobierno Transparente” o a través de una solicitud de información canalizada en los medios previstos para tales efectos.</w:t>
      </w:r>
    </w:p>
    <w:p w:rsidR="00FE414C" w:rsidRPr="00D47199" w:rsidRDefault="00061D6D" w:rsidP="00D47199">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 xml:space="preserve">Derecho a </w:t>
      </w:r>
      <w:r w:rsidR="00742A66" w:rsidRPr="00D47199">
        <w:rPr>
          <w:rFonts w:ascii="gobCL" w:hAnsi="gobCL"/>
          <w:sz w:val="24"/>
          <w:szCs w:val="24"/>
        </w:rPr>
        <w:t>p</w:t>
      </w:r>
      <w:r w:rsidRPr="00D47199">
        <w:rPr>
          <w:rFonts w:ascii="gobCL" w:hAnsi="gobCL"/>
          <w:sz w:val="24"/>
          <w:szCs w:val="24"/>
        </w:rPr>
        <w:t>articipar de las acti</w:t>
      </w:r>
      <w:r w:rsidR="00982CA3" w:rsidRPr="00D47199">
        <w:rPr>
          <w:rFonts w:ascii="gobCL" w:hAnsi="gobCL"/>
          <w:sz w:val="24"/>
          <w:szCs w:val="24"/>
        </w:rPr>
        <w:t xml:space="preserve">vidades y programas que el Ministerio </w:t>
      </w:r>
      <w:r w:rsidRPr="00D47199">
        <w:rPr>
          <w:rFonts w:ascii="gobCL" w:hAnsi="gobCL"/>
          <w:sz w:val="24"/>
          <w:szCs w:val="24"/>
        </w:rPr>
        <w:t>preste a toda la ciudadanía</w:t>
      </w:r>
      <w:r w:rsidR="008E1E14" w:rsidRPr="00D47199">
        <w:rPr>
          <w:rFonts w:ascii="gobCL" w:hAnsi="gobCL"/>
          <w:sz w:val="24"/>
          <w:szCs w:val="24"/>
        </w:rPr>
        <w:t xml:space="preserve">,  </w:t>
      </w:r>
      <w:r w:rsidR="009857B4" w:rsidRPr="00D47199">
        <w:rPr>
          <w:rFonts w:ascii="gobCL" w:hAnsi="gobCL"/>
          <w:sz w:val="24"/>
          <w:szCs w:val="24"/>
        </w:rPr>
        <w:t xml:space="preserve">mediante los medios de entrega  dispuestos y canales implementados </w:t>
      </w:r>
      <w:r w:rsidR="00FE414C" w:rsidRPr="00D47199">
        <w:rPr>
          <w:rFonts w:ascii="gobCL" w:hAnsi="gobCL"/>
          <w:sz w:val="24"/>
          <w:szCs w:val="24"/>
        </w:rPr>
        <w:t xml:space="preserve">por el </w:t>
      </w:r>
      <w:r w:rsidR="00C17165" w:rsidRPr="00D47199">
        <w:rPr>
          <w:rFonts w:ascii="gobCL" w:hAnsi="gobCL"/>
          <w:sz w:val="24"/>
          <w:szCs w:val="24"/>
        </w:rPr>
        <w:t xml:space="preserve">Ministerio </w:t>
      </w:r>
      <w:r w:rsidR="00FE414C" w:rsidRPr="00D47199">
        <w:rPr>
          <w:rFonts w:ascii="gobCL" w:hAnsi="gobCL"/>
          <w:sz w:val="24"/>
          <w:szCs w:val="24"/>
        </w:rPr>
        <w:t xml:space="preserve">en cada caso, así como en las instancias, modalidades y formas específicas que establece la </w:t>
      </w:r>
      <w:r w:rsidR="00C17165" w:rsidRPr="00D47199">
        <w:rPr>
          <w:rFonts w:ascii="gobCL" w:hAnsi="gobCL"/>
          <w:sz w:val="24"/>
          <w:szCs w:val="24"/>
        </w:rPr>
        <w:t xml:space="preserve">Ley </w:t>
      </w:r>
      <w:r w:rsidR="00FE414C" w:rsidRPr="00D47199">
        <w:rPr>
          <w:rFonts w:ascii="gobCL" w:hAnsi="gobCL"/>
          <w:sz w:val="24"/>
          <w:szCs w:val="24"/>
        </w:rPr>
        <w:t>de Participación Ciudadana</w:t>
      </w:r>
      <w:r w:rsidR="00742A66" w:rsidRPr="00D47199">
        <w:rPr>
          <w:rFonts w:ascii="gobCL" w:hAnsi="gobCL"/>
          <w:sz w:val="24"/>
          <w:szCs w:val="24"/>
        </w:rPr>
        <w:t>.</w:t>
      </w:r>
    </w:p>
    <w:p w:rsidR="00FE414C" w:rsidRPr="00D47199" w:rsidRDefault="00FE414C" w:rsidP="00D47199">
      <w:pPr>
        <w:pStyle w:val="Prrafodelista"/>
        <w:spacing w:line="360" w:lineRule="auto"/>
        <w:ind w:left="1080"/>
        <w:jc w:val="both"/>
        <w:rPr>
          <w:rFonts w:ascii="gobCL" w:hAnsi="gobCL" w:cstheme="minorHAnsi"/>
          <w:color w:val="000000" w:themeColor="text1"/>
          <w:sz w:val="24"/>
          <w:szCs w:val="24"/>
          <w:lang w:val="es-ES"/>
        </w:rPr>
      </w:pPr>
    </w:p>
    <w:p w:rsidR="00C60DF6" w:rsidRPr="00D47199" w:rsidRDefault="00092189" w:rsidP="00D47199">
      <w:pPr>
        <w:spacing w:line="360" w:lineRule="auto"/>
        <w:contextualSpacing/>
        <w:rPr>
          <w:rFonts w:ascii="gobCL" w:hAnsi="gobCL" w:cstheme="minorHAnsi"/>
          <w:b/>
          <w:sz w:val="24"/>
          <w:szCs w:val="24"/>
          <w:lang w:val="es-ES"/>
        </w:rPr>
      </w:pPr>
      <w:r w:rsidRPr="00D47199">
        <w:rPr>
          <w:rFonts w:ascii="gobCL" w:hAnsi="gobCL" w:cstheme="minorHAnsi"/>
          <w:b/>
          <w:sz w:val="24"/>
          <w:szCs w:val="24"/>
          <w:lang w:val="es-ES"/>
        </w:rPr>
        <w:t>¿CUÁ</w:t>
      </w:r>
      <w:r w:rsidR="00C17165" w:rsidRPr="00D47199">
        <w:rPr>
          <w:rFonts w:ascii="gobCL" w:hAnsi="gobCL" w:cstheme="minorHAnsi"/>
          <w:b/>
          <w:sz w:val="24"/>
          <w:szCs w:val="24"/>
          <w:lang w:val="es-ES"/>
        </w:rPr>
        <w:t>LES SON SUS DEBERES ANTE EL MINISTERIO</w:t>
      </w:r>
      <w:r w:rsidRPr="00D47199">
        <w:rPr>
          <w:rFonts w:ascii="gobCL" w:hAnsi="gobCL" w:cstheme="minorHAnsi"/>
          <w:b/>
          <w:sz w:val="24"/>
          <w:szCs w:val="24"/>
          <w:lang w:val="es-ES"/>
        </w:rPr>
        <w:t>?</w:t>
      </w:r>
    </w:p>
    <w:p w:rsidR="00C60DF6" w:rsidRPr="00D47199" w:rsidRDefault="0072696A" w:rsidP="00D47199">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 xml:space="preserve">Tratar de manera </w:t>
      </w:r>
      <w:r w:rsidR="00C60DF6" w:rsidRPr="00D47199">
        <w:rPr>
          <w:rFonts w:ascii="gobCL" w:hAnsi="gobCL"/>
          <w:sz w:val="24"/>
          <w:szCs w:val="24"/>
        </w:rPr>
        <w:t xml:space="preserve">respetuosa </w:t>
      </w:r>
      <w:r w:rsidRPr="00D47199">
        <w:rPr>
          <w:rFonts w:ascii="gobCL" w:hAnsi="gobCL"/>
          <w:sz w:val="24"/>
          <w:szCs w:val="24"/>
        </w:rPr>
        <w:t xml:space="preserve">a la persona  </w:t>
      </w:r>
      <w:r w:rsidR="00C60DF6" w:rsidRPr="00D47199">
        <w:rPr>
          <w:rFonts w:ascii="gobCL" w:hAnsi="gobCL"/>
          <w:sz w:val="24"/>
          <w:szCs w:val="24"/>
        </w:rPr>
        <w:t>que presta el servicio</w:t>
      </w:r>
      <w:r w:rsidR="002F752F" w:rsidRPr="00D47199">
        <w:rPr>
          <w:rFonts w:ascii="gobCL" w:hAnsi="gobCL"/>
          <w:sz w:val="24"/>
          <w:szCs w:val="24"/>
        </w:rPr>
        <w:t>.</w:t>
      </w:r>
    </w:p>
    <w:p w:rsidR="00C60DF6" w:rsidRPr="00D47199" w:rsidRDefault="00C60DF6" w:rsidP="00D47199">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Aportar la documentación necesaria para la gestión de su solicitud</w:t>
      </w:r>
      <w:r w:rsidR="002F752F" w:rsidRPr="00D47199">
        <w:rPr>
          <w:rFonts w:ascii="gobCL" w:hAnsi="gobCL"/>
          <w:sz w:val="24"/>
          <w:szCs w:val="24"/>
        </w:rPr>
        <w:t>.</w:t>
      </w:r>
    </w:p>
    <w:p w:rsidR="00C60DF6" w:rsidRPr="00D47199" w:rsidRDefault="00C60DF6" w:rsidP="00D47199">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Respetar los horarios de atención y plazos</w:t>
      </w:r>
      <w:r w:rsidR="00CB14D4" w:rsidRPr="00D47199">
        <w:rPr>
          <w:rFonts w:ascii="gobCL" w:hAnsi="gobCL"/>
          <w:sz w:val="24"/>
          <w:szCs w:val="24"/>
        </w:rPr>
        <w:t xml:space="preserve"> institucionales </w:t>
      </w:r>
      <w:r w:rsidRPr="00D47199">
        <w:rPr>
          <w:rFonts w:ascii="gobCL" w:hAnsi="gobCL"/>
          <w:sz w:val="24"/>
          <w:szCs w:val="24"/>
        </w:rPr>
        <w:t xml:space="preserve"> </w:t>
      </w:r>
      <w:r w:rsidR="00CB14D4" w:rsidRPr="00D47199">
        <w:rPr>
          <w:rFonts w:ascii="gobCL" w:hAnsi="gobCL"/>
          <w:sz w:val="24"/>
          <w:szCs w:val="24"/>
        </w:rPr>
        <w:t xml:space="preserve">para la </w:t>
      </w:r>
      <w:r w:rsidRPr="00D47199">
        <w:rPr>
          <w:rFonts w:ascii="gobCL" w:hAnsi="gobCL"/>
          <w:sz w:val="24"/>
          <w:szCs w:val="24"/>
        </w:rPr>
        <w:t xml:space="preserve"> tramitación</w:t>
      </w:r>
      <w:r w:rsidR="00CB14D4" w:rsidRPr="00D47199">
        <w:rPr>
          <w:rFonts w:ascii="gobCL" w:hAnsi="gobCL"/>
          <w:sz w:val="24"/>
          <w:szCs w:val="24"/>
        </w:rPr>
        <w:t xml:space="preserve"> de la solicitud.</w:t>
      </w:r>
    </w:p>
    <w:p w:rsidR="00C60DF6" w:rsidRPr="00D47199" w:rsidRDefault="00C60DF6" w:rsidP="00D47199">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Realizar peticiones concretas, fundadas y fidedignas</w:t>
      </w:r>
      <w:r w:rsidR="002F752F" w:rsidRPr="00D47199">
        <w:rPr>
          <w:rFonts w:ascii="gobCL" w:hAnsi="gobCL"/>
          <w:sz w:val="24"/>
          <w:szCs w:val="24"/>
        </w:rPr>
        <w:t>.</w:t>
      </w:r>
    </w:p>
    <w:p w:rsidR="00056687" w:rsidRPr="00D47199" w:rsidRDefault="00056687" w:rsidP="00D47199">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Cuidar, conservar y no alterar los documentos</w:t>
      </w:r>
      <w:r w:rsidR="008E135E" w:rsidRPr="00D47199">
        <w:rPr>
          <w:rFonts w:ascii="gobCL" w:hAnsi="gobCL"/>
          <w:sz w:val="24"/>
          <w:szCs w:val="24"/>
        </w:rPr>
        <w:t>,</w:t>
      </w:r>
      <w:r w:rsidRPr="00D47199">
        <w:rPr>
          <w:rFonts w:ascii="gobCL" w:hAnsi="gobCL"/>
          <w:sz w:val="24"/>
          <w:szCs w:val="24"/>
        </w:rPr>
        <w:t xml:space="preserve"> bienes</w:t>
      </w:r>
      <w:r w:rsidR="008E135E" w:rsidRPr="00D47199">
        <w:rPr>
          <w:rFonts w:ascii="gobCL" w:hAnsi="gobCL"/>
          <w:sz w:val="24"/>
          <w:szCs w:val="24"/>
        </w:rPr>
        <w:t xml:space="preserve"> y espacios </w:t>
      </w:r>
      <w:r w:rsidRPr="00D47199">
        <w:rPr>
          <w:rFonts w:ascii="gobCL" w:hAnsi="gobCL"/>
          <w:sz w:val="24"/>
          <w:szCs w:val="24"/>
        </w:rPr>
        <w:t xml:space="preserve"> físicos </w:t>
      </w:r>
      <w:r w:rsidR="008E135E" w:rsidRPr="00D47199">
        <w:rPr>
          <w:rFonts w:ascii="gobCL" w:hAnsi="gobCL"/>
          <w:sz w:val="24"/>
          <w:szCs w:val="24"/>
        </w:rPr>
        <w:t>qu</w:t>
      </w:r>
      <w:r w:rsidRPr="00D47199">
        <w:rPr>
          <w:rFonts w:ascii="gobCL" w:hAnsi="gobCL"/>
          <w:sz w:val="24"/>
          <w:szCs w:val="24"/>
        </w:rPr>
        <w:t>e la institución</w:t>
      </w:r>
      <w:r w:rsidR="008E135E" w:rsidRPr="00D47199">
        <w:rPr>
          <w:rFonts w:ascii="gobCL" w:hAnsi="gobCL"/>
          <w:sz w:val="24"/>
          <w:szCs w:val="24"/>
        </w:rPr>
        <w:t xml:space="preserve"> pone al servicio del público</w:t>
      </w:r>
      <w:r w:rsidR="002F752F" w:rsidRPr="00D47199">
        <w:rPr>
          <w:rFonts w:ascii="gobCL" w:hAnsi="gobCL"/>
          <w:sz w:val="24"/>
          <w:szCs w:val="24"/>
        </w:rPr>
        <w:t>.</w:t>
      </w:r>
    </w:p>
    <w:p w:rsidR="00CB14D4" w:rsidRPr="00D47199" w:rsidRDefault="00C60DF6" w:rsidP="00D47199">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Hacer las sugerencias que estime convenientes para mejorar el servicio</w:t>
      </w:r>
      <w:r w:rsidR="002F752F" w:rsidRPr="00D47199">
        <w:rPr>
          <w:rFonts w:ascii="gobCL" w:hAnsi="gobCL"/>
          <w:sz w:val="24"/>
          <w:szCs w:val="24"/>
        </w:rPr>
        <w:t>.</w:t>
      </w:r>
    </w:p>
    <w:p w:rsidR="00453E9B" w:rsidRPr="00D47199" w:rsidRDefault="00453E9B" w:rsidP="00D47199">
      <w:pPr>
        <w:pStyle w:val="Prrafodelista"/>
        <w:spacing w:line="360" w:lineRule="auto"/>
        <w:ind w:left="360"/>
        <w:rPr>
          <w:rFonts w:ascii="gobCL" w:hAnsi="gobCL" w:cstheme="minorHAnsi"/>
          <w:sz w:val="24"/>
          <w:szCs w:val="24"/>
          <w:lang w:val="es-ES"/>
        </w:rPr>
      </w:pPr>
    </w:p>
    <w:p w:rsidR="00973D4F" w:rsidRPr="005E156F" w:rsidRDefault="00092189" w:rsidP="005E156F">
      <w:pPr>
        <w:spacing w:line="360" w:lineRule="auto"/>
        <w:rPr>
          <w:rFonts w:ascii="gobCL" w:hAnsi="gobCL" w:cstheme="minorHAnsi"/>
          <w:b/>
          <w:sz w:val="24"/>
          <w:szCs w:val="24"/>
          <w:lang w:val="es-ES"/>
        </w:rPr>
      </w:pPr>
      <w:r w:rsidRPr="005E156F">
        <w:rPr>
          <w:rFonts w:ascii="gobCL" w:hAnsi="gobCL" w:cstheme="minorHAnsi"/>
          <w:b/>
          <w:sz w:val="24"/>
          <w:szCs w:val="24"/>
          <w:lang w:val="es-ES"/>
        </w:rPr>
        <w:t>MECANISMOS DE QUEJA</w:t>
      </w:r>
    </w:p>
    <w:p w:rsidR="00AF1605" w:rsidRPr="005E156F" w:rsidRDefault="00973D4F" w:rsidP="005E1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5E156F">
        <w:rPr>
          <w:rFonts w:ascii="gobCL" w:hAnsi="gobCL"/>
          <w:sz w:val="24"/>
          <w:szCs w:val="24"/>
        </w:rPr>
        <w:t>De considerar que han sido vulnerados sus derechos, toda persona puede presentar su reclamo por escrito</w:t>
      </w:r>
      <w:r w:rsidR="00742A66" w:rsidRPr="005E156F">
        <w:rPr>
          <w:rFonts w:ascii="gobCL" w:hAnsi="gobCL"/>
          <w:sz w:val="24"/>
          <w:szCs w:val="24"/>
        </w:rPr>
        <w:t xml:space="preserve"> (carta o</w:t>
      </w:r>
      <w:r w:rsidR="00AF1605" w:rsidRPr="005E156F">
        <w:rPr>
          <w:rFonts w:ascii="gobCL" w:hAnsi="gobCL"/>
          <w:sz w:val="24"/>
          <w:szCs w:val="24"/>
        </w:rPr>
        <w:t xml:space="preserve"> correo electrónico según corresponda) </w:t>
      </w:r>
      <w:r w:rsidRPr="005E156F">
        <w:rPr>
          <w:rFonts w:ascii="gobCL" w:hAnsi="gobCL"/>
          <w:sz w:val="24"/>
          <w:szCs w:val="24"/>
        </w:rPr>
        <w:t>en los espacios de atención habilitados para ello, los que serán investigados y respondidos por escrito.</w:t>
      </w:r>
    </w:p>
    <w:p w:rsidR="00453E9B" w:rsidRPr="00D47199" w:rsidRDefault="00453E9B" w:rsidP="00D47199">
      <w:pPr>
        <w:spacing w:line="360" w:lineRule="auto"/>
        <w:jc w:val="both"/>
        <w:rPr>
          <w:rFonts w:ascii="gobCL" w:hAnsi="gobCL" w:cstheme="minorHAnsi"/>
          <w:sz w:val="24"/>
          <w:szCs w:val="24"/>
          <w:lang w:val="es-ES"/>
        </w:rPr>
      </w:pPr>
    </w:p>
    <w:p w:rsidR="00973D4F" w:rsidRPr="00D47199" w:rsidRDefault="00092189" w:rsidP="005E156F">
      <w:pPr>
        <w:spacing w:line="360" w:lineRule="auto"/>
        <w:rPr>
          <w:rFonts w:ascii="gobCL" w:hAnsi="gobCL" w:cstheme="minorHAnsi"/>
          <w:b/>
          <w:sz w:val="24"/>
          <w:szCs w:val="24"/>
          <w:lang w:val="es-ES"/>
        </w:rPr>
      </w:pPr>
      <w:r w:rsidRPr="00D47199">
        <w:rPr>
          <w:rFonts w:ascii="gobCL" w:hAnsi="gobCL" w:cstheme="minorHAnsi"/>
          <w:b/>
          <w:sz w:val="24"/>
          <w:szCs w:val="24"/>
          <w:lang w:val="es-ES"/>
        </w:rPr>
        <w:t>MECANISMOS DE COMPENSACIÓN</w:t>
      </w:r>
    </w:p>
    <w:p w:rsidR="00973D4F" w:rsidRPr="00D47199" w:rsidRDefault="00973D4F" w:rsidP="00D47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line="360" w:lineRule="auto"/>
        <w:jc w:val="both"/>
        <w:rPr>
          <w:rFonts w:ascii="gobCL" w:hAnsi="gobCL"/>
          <w:sz w:val="24"/>
          <w:szCs w:val="24"/>
        </w:rPr>
      </w:pPr>
      <w:r w:rsidRPr="00D47199">
        <w:rPr>
          <w:rFonts w:ascii="gobCL" w:hAnsi="gobCL"/>
          <w:sz w:val="24"/>
          <w:szCs w:val="24"/>
        </w:rPr>
        <w:t xml:space="preserve">El </w:t>
      </w:r>
      <w:r w:rsidR="004244B6" w:rsidRPr="00D47199">
        <w:rPr>
          <w:rFonts w:ascii="gobCL" w:hAnsi="gobCL"/>
          <w:sz w:val="24"/>
          <w:szCs w:val="24"/>
        </w:rPr>
        <w:t xml:space="preserve">Ministerio </w:t>
      </w:r>
      <w:r w:rsidRPr="00D47199">
        <w:rPr>
          <w:rFonts w:ascii="gobCL" w:hAnsi="gobCL"/>
          <w:sz w:val="24"/>
          <w:szCs w:val="24"/>
        </w:rPr>
        <w:t>se compromete a investigar los hechos que desencadenen un perjuicio, a</w:t>
      </w:r>
      <w:r w:rsidR="00D52483" w:rsidRPr="00D47199">
        <w:rPr>
          <w:rFonts w:ascii="gobCL" w:hAnsi="gobCL"/>
          <w:sz w:val="24"/>
          <w:szCs w:val="24"/>
        </w:rPr>
        <w:t xml:space="preserve"> entregar una solución concreta al respecto.</w:t>
      </w:r>
      <w:r w:rsidRPr="00D47199">
        <w:rPr>
          <w:rFonts w:ascii="gobCL" w:hAnsi="gobCL"/>
          <w:sz w:val="24"/>
          <w:szCs w:val="24"/>
        </w:rPr>
        <w:t xml:space="preserve"> </w:t>
      </w:r>
      <w:r w:rsidR="00D52483" w:rsidRPr="00D47199">
        <w:rPr>
          <w:rFonts w:ascii="gobCL" w:hAnsi="gobCL"/>
          <w:sz w:val="24"/>
          <w:szCs w:val="24"/>
        </w:rPr>
        <w:t xml:space="preserve">Además, </w:t>
      </w:r>
      <w:r w:rsidRPr="00D47199">
        <w:rPr>
          <w:rFonts w:ascii="gobCL" w:hAnsi="gobCL"/>
          <w:sz w:val="24"/>
          <w:szCs w:val="24"/>
        </w:rPr>
        <w:t>en aquellos hechos que lo amerite, por su gravedad</w:t>
      </w:r>
      <w:r w:rsidR="00435C39" w:rsidRPr="00D47199">
        <w:rPr>
          <w:rFonts w:ascii="gobCL" w:hAnsi="gobCL"/>
          <w:sz w:val="24"/>
          <w:szCs w:val="24"/>
        </w:rPr>
        <w:t xml:space="preserve"> u otra situación</w:t>
      </w:r>
      <w:r w:rsidRPr="00D47199">
        <w:rPr>
          <w:rFonts w:ascii="gobCL" w:hAnsi="gobCL"/>
          <w:sz w:val="24"/>
          <w:szCs w:val="24"/>
        </w:rPr>
        <w:t xml:space="preserve">, </w:t>
      </w:r>
      <w:r w:rsidR="00435C39" w:rsidRPr="00D47199">
        <w:rPr>
          <w:rFonts w:ascii="gobCL" w:hAnsi="gobCL"/>
          <w:sz w:val="24"/>
          <w:szCs w:val="24"/>
        </w:rPr>
        <w:t xml:space="preserve">corresponderá </w:t>
      </w:r>
      <w:r w:rsidRPr="00D47199">
        <w:rPr>
          <w:rFonts w:ascii="gobCL" w:hAnsi="gobCL"/>
          <w:sz w:val="24"/>
          <w:szCs w:val="24"/>
        </w:rPr>
        <w:t>una di</w:t>
      </w:r>
      <w:r w:rsidR="004244B6" w:rsidRPr="00D47199">
        <w:rPr>
          <w:rFonts w:ascii="gobCL" w:hAnsi="gobCL"/>
          <w:sz w:val="24"/>
          <w:szCs w:val="24"/>
        </w:rPr>
        <w:t>sculpa por escrito por parte de la autoridad</w:t>
      </w:r>
      <w:r w:rsidRPr="00D47199">
        <w:rPr>
          <w:rFonts w:ascii="gobCL" w:hAnsi="gobCL"/>
          <w:sz w:val="24"/>
          <w:szCs w:val="24"/>
        </w:rPr>
        <w:t>.</w:t>
      </w:r>
    </w:p>
    <w:p w:rsidR="00453E9B" w:rsidRPr="00D47199" w:rsidRDefault="00453E9B" w:rsidP="00D47199">
      <w:pPr>
        <w:spacing w:line="360" w:lineRule="auto"/>
        <w:jc w:val="both"/>
        <w:rPr>
          <w:rFonts w:ascii="gobCL" w:hAnsi="gobCL" w:cstheme="minorHAnsi"/>
          <w:sz w:val="24"/>
          <w:szCs w:val="24"/>
          <w:lang w:val="es-ES"/>
        </w:rPr>
      </w:pPr>
    </w:p>
    <w:p w:rsidR="00453E9B" w:rsidRPr="00D47199" w:rsidRDefault="00453E9B" w:rsidP="00D47199">
      <w:pPr>
        <w:spacing w:line="360" w:lineRule="auto"/>
        <w:jc w:val="both"/>
        <w:rPr>
          <w:rFonts w:ascii="gobCL" w:hAnsi="gobCL" w:cstheme="minorHAnsi"/>
          <w:sz w:val="24"/>
          <w:szCs w:val="24"/>
          <w:lang w:val="es-ES"/>
        </w:rPr>
      </w:pPr>
    </w:p>
    <w:p w:rsidR="00453E9B" w:rsidRPr="00D47199" w:rsidRDefault="00453E9B" w:rsidP="00D47199">
      <w:pPr>
        <w:spacing w:line="360" w:lineRule="auto"/>
        <w:jc w:val="both"/>
        <w:rPr>
          <w:rFonts w:ascii="gobCL" w:hAnsi="gobCL" w:cstheme="minorHAnsi"/>
          <w:sz w:val="24"/>
          <w:szCs w:val="24"/>
          <w:lang w:val="es-ES"/>
        </w:rPr>
      </w:pPr>
    </w:p>
    <w:p w:rsidR="001C79B7" w:rsidRPr="00D47199" w:rsidRDefault="001C79B7" w:rsidP="00D47199">
      <w:pPr>
        <w:spacing w:line="360" w:lineRule="auto"/>
        <w:jc w:val="both"/>
        <w:rPr>
          <w:rFonts w:ascii="gobCL" w:hAnsi="gobCL" w:cstheme="minorHAnsi"/>
          <w:sz w:val="24"/>
          <w:szCs w:val="24"/>
          <w:lang w:val="es-ES"/>
        </w:rPr>
      </w:pPr>
    </w:p>
    <w:p w:rsidR="00AF1605" w:rsidRPr="00D47199" w:rsidRDefault="00092189" w:rsidP="005E156F">
      <w:pPr>
        <w:spacing w:line="360" w:lineRule="auto"/>
        <w:jc w:val="center"/>
        <w:rPr>
          <w:rFonts w:ascii="gobCL" w:hAnsi="gobCL" w:cstheme="minorHAnsi"/>
          <w:b/>
          <w:sz w:val="24"/>
          <w:szCs w:val="24"/>
          <w:lang w:val="es-ES"/>
        </w:rPr>
      </w:pPr>
      <w:r w:rsidRPr="00D47199">
        <w:rPr>
          <w:rFonts w:ascii="gobCL" w:hAnsi="gobCL" w:cstheme="minorHAnsi"/>
          <w:b/>
          <w:sz w:val="24"/>
          <w:szCs w:val="24"/>
          <w:lang w:val="es-ES"/>
        </w:rPr>
        <w:t>INFORMACIÓN DE CONTACTO</w:t>
      </w:r>
    </w:p>
    <w:p w:rsidR="00B42C84" w:rsidRPr="00D47199" w:rsidRDefault="00AF1605" w:rsidP="00D47199">
      <w:pPr>
        <w:spacing w:line="360" w:lineRule="auto"/>
        <w:contextualSpacing/>
        <w:jc w:val="center"/>
        <w:rPr>
          <w:rStyle w:val="Hipervnculo"/>
          <w:rFonts w:ascii="gobCL" w:hAnsi="gobCL" w:cstheme="minorHAnsi"/>
          <w:sz w:val="24"/>
          <w:szCs w:val="24"/>
        </w:rPr>
      </w:pPr>
      <w:r w:rsidRPr="00D47199">
        <w:rPr>
          <w:rFonts w:ascii="gobCL" w:hAnsi="gobCL" w:cstheme="minorHAnsi"/>
          <w:sz w:val="24"/>
          <w:szCs w:val="24"/>
        </w:rPr>
        <w:t xml:space="preserve">Portal Web: </w:t>
      </w:r>
      <w:hyperlink r:id="rId8" w:history="1">
        <w:r w:rsidR="00061D6D" w:rsidRPr="00D47199">
          <w:rPr>
            <w:rStyle w:val="Hipervnculo"/>
            <w:rFonts w:ascii="gobCL" w:hAnsi="gobCL" w:cstheme="minorHAnsi"/>
            <w:sz w:val="24"/>
            <w:szCs w:val="24"/>
          </w:rPr>
          <w:t>www.cultura.gob.cl</w:t>
        </w:r>
      </w:hyperlink>
    </w:p>
    <w:p w:rsidR="003966EC" w:rsidRPr="00D47199" w:rsidRDefault="003966EC" w:rsidP="00D47199">
      <w:pPr>
        <w:spacing w:line="360" w:lineRule="auto"/>
        <w:contextualSpacing/>
        <w:rPr>
          <w:rFonts w:ascii="gobCL" w:hAnsi="gobCL" w:cstheme="minorHAnsi"/>
          <w:b/>
          <w:sz w:val="24"/>
          <w:szCs w:val="24"/>
        </w:rPr>
      </w:pPr>
    </w:p>
    <w:tbl>
      <w:tblPr>
        <w:tblStyle w:val="Cuadrculadetablaclara"/>
        <w:tblW w:w="5000" w:type="pct"/>
        <w:tblLook w:val="04A0" w:firstRow="1" w:lastRow="0" w:firstColumn="1" w:lastColumn="0" w:noHBand="0" w:noVBand="1"/>
      </w:tblPr>
      <w:tblGrid>
        <w:gridCol w:w="1651"/>
        <w:gridCol w:w="5587"/>
        <w:gridCol w:w="1824"/>
      </w:tblGrid>
      <w:tr w:rsidR="001A38BC" w:rsidRPr="005E156F" w:rsidTr="0061231C">
        <w:trPr>
          <w:trHeight w:val="306"/>
        </w:trPr>
        <w:tc>
          <w:tcPr>
            <w:tcW w:w="986" w:type="pct"/>
            <w:hideMark/>
          </w:tcPr>
          <w:p w:rsidR="001A38BC" w:rsidRPr="005E156F" w:rsidRDefault="001A38BC" w:rsidP="00D47199">
            <w:pPr>
              <w:spacing w:line="360" w:lineRule="auto"/>
              <w:jc w:val="center"/>
              <w:rPr>
                <w:rFonts w:ascii="gobCL" w:hAnsi="gobCL" w:cstheme="minorHAnsi"/>
                <w:b/>
              </w:rPr>
            </w:pPr>
            <w:r w:rsidRPr="005E156F">
              <w:rPr>
                <w:rFonts w:ascii="gobCL" w:hAnsi="gobCL" w:cstheme="minorHAnsi"/>
                <w:b/>
              </w:rPr>
              <w:t>UBICACIÓN</w:t>
            </w:r>
          </w:p>
        </w:tc>
        <w:tc>
          <w:tcPr>
            <w:tcW w:w="2009" w:type="pct"/>
            <w:noWrap/>
            <w:hideMark/>
          </w:tcPr>
          <w:p w:rsidR="001A38BC" w:rsidRPr="005E156F" w:rsidRDefault="001A38BC" w:rsidP="00D47199">
            <w:pPr>
              <w:spacing w:line="360" w:lineRule="auto"/>
              <w:ind w:left="102" w:firstLine="353"/>
              <w:jc w:val="center"/>
              <w:rPr>
                <w:rFonts w:ascii="gobCL" w:hAnsi="gobCL" w:cstheme="minorHAnsi"/>
                <w:b/>
              </w:rPr>
            </w:pPr>
            <w:r w:rsidRPr="005E156F">
              <w:rPr>
                <w:rFonts w:ascii="gobCL" w:hAnsi="gobCL" w:cstheme="minorHAnsi"/>
                <w:b/>
              </w:rPr>
              <w:t>DIRECCIÓN</w:t>
            </w:r>
          </w:p>
        </w:tc>
        <w:tc>
          <w:tcPr>
            <w:tcW w:w="2005" w:type="pct"/>
            <w:hideMark/>
          </w:tcPr>
          <w:p w:rsidR="001A38BC" w:rsidRPr="005E156F" w:rsidRDefault="001A38BC" w:rsidP="00D47199">
            <w:pPr>
              <w:spacing w:line="360" w:lineRule="auto"/>
              <w:jc w:val="center"/>
              <w:rPr>
                <w:rFonts w:ascii="gobCL" w:hAnsi="gobCL" w:cstheme="minorHAnsi"/>
                <w:b/>
              </w:rPr>
            </w:pPr>
            <w:r w:rsidRPr="005E156F">
              <w:rPr>
                <w:rFonts w:ascii="gobCL" w:hAnsi="gobCL" w:cstheme="minorHAnsi"/>
                <w:b/>
              </w:rPr>
              <w:t>TELEFONO OIRS</w:t>
            </w:r>
          </w:p>
        </w:tc>
      </w:tr>
      <w:tr w:rsidR="001A38BC" w:rsidRPr="005E156F" w:rsidTr="0061231C">
        <w:trPr>
          <w:trHeight w:val="395"/>
        </w:trPr>
        <w:tc>
          <w:tcPr>
            <w:tcW w:w="5000" w:type="pct"/>
            <w:gridSpan w:val="3"/>
          </w:tcPr>
          <w:p w:rsidR="001A38BC" w:rsidRPr="005E156F" w:rsidRDefault="001A38BC" w:rsidP="00D47199">
            <w:pPr>
              <w:spacing w:line="360" w:lineRule="auto"/>
              <w:jc w:val="center"/>
              <w:rPr>
                <w:rFonts w:ascii="gobCL" w:hAnsi="gobCL" w:cstheme="minorHAnsi"/>
                <w:b/>
              </w:rPr>
            </w:pPr>
            <w:r w:rsidRPr="005E156F">
              <w:rPr>
                <w:rFonts w:ascii="gobCL" w:hAnsi="gobCL" w:cstheme="minorHAnsi"/>
                <w:b/>
              </w:rPr>
              <w:t>OFICINAS CENTRALES</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Valparaíso</w:t>
            </w:r>
          </w:p>
        </w:tc>
        <w:tc>
          <w:tcPr>
            <w:tcW w:w="2009" w:type="pct"/>
            <w:noWrap/>
            <w:hideMark/>
          </w:tcPr>
          <w:p w:rsidR="001A38BC" w:rsidRPr="005E156F" w:rsidRDefault="001A38BC" w:rsidP="00D47199">
            <w:pPr>
              <w:spacing w:line="360" w:lineRule="auto"/>
              <w:rPr>
                <w:rFonts w:ascii="gobCL" w:hAnsi="gobCL" w:cstheme="minorHAnsi"/>
              </w:rPr>
            </w:pPr>
            <w:r w:rsidRPr="005E156F">
              <w:rPr>
                <w:rFonts w:ascii="gobCL" w:hAnsi="gobCL" w:cstheme="minorHAnsi"/>
              </w:rPr>
              <w:t>Plaza Sotomayor 233. Valparaíso</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(32) 2326400</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Santiago</w:t>
            </w:r>
          </w:p>
        </w:tc>
        <w:tc>
          <w:tcPr>
            <w:tcW w:w="2009" w:type="pct"/>
            <w:noWrap/>
            <w:hideMark/>
          </w:tcPr>
          <w:p w:rsidR="001A38BC" w:rsidRPr="005E156F" w:rsidRDefault="001A38BC" w:rsidP="00D47199">
            <w:pPr>
              <w:spacing w:line="360" w:lineRule="auto"/>
              <w:rPr>
                <w:rFonts w:ascii="gobCL" w:hAnsi="gobCL" w:cstheme="minorHAnsi"/>
              </w:rPr>
            </w:pPr>
            <w:r w:rsidRPr="005E156F">
              <w:rPr>
                <w:rFonts w:ascii="gobCL" w:hAnsi="gobCL" w:cstheme="minorHAnsi"/>
              </w:rPr>
              <w:t>Ahumada 48, piso 6º. Santiago.</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(02) 26189000 / 26189001</w:t>
            </w:r>
          </w:p>
        </w:tc>
        <w:bookmarkStart w:id="0" w:name="_GoBack"/>
        <w:bookmarkEnd w:id="0"/>
      </w:tr>
      <w:tr w:rsidR="001A38BC" w:rsidRPr="005E156F" w:rsidTr="0061231C">
        <w:trPr>
          <w:trHeight w:val="255"/>
        </w:trPr>
        <w:tc>
          <w:tcPr>
            <w:tcW w:w="5000" w:type="pct"/>
            <w:gridSpan w:val="3"/>
          </w:tcPr>
          <w:p w:rsidR="001A38BC" w:rsidRPr="005E156F" w:rsidRDefault="001A38BC" w:rsidP="006F70F9">
            <w:pPr>
              <w:spacing w:line="360" w:lineRule="auto"/>
              <w:jc w:val="center"/>
              <w:rPr>
                <w:rFonts w:ascii="gobCL" w:hAnsi="gobCL" w:cstheme="minorHAnsi"/>
                <w:b/>
              </w:rPr>
            </w:pPr>
            <w:r w:rsidRPr="005E156F">
              <w:rPr>
                <w:rFonts w:ascii="gobCL" w:hAnsi="gobCL" w:cstheme="minorHAnsi"/>
                <w:b/>
              </w:rPr>
              <w:t>SEREMÍAS</w:t>
            </w:r>
            <w:r w:rsidRPr="005E156F">
              <w:rPr>
                <w:rFonts w:ascii="Calibri" w:hAnsi="Calibri" w:cs="Calibri"/>
                <w:b/>
              </w:rPr>
              <w:t> </w:t>
            </w:r>
            <w:r w:rsidRPr="005E156F">
              <w:rPr>
                <w:rFonts w:ascii="gobCL" w:hAnsi="gobCL" w:cstheme="minorHAnsi"/>
                <w:b/>
              </w:rPr>
              <w:t xml:space="preserve"> DE CULTURAS</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Arica y Parinacota</w:t>
            </w:r>
            <w:r w:rsidRPr="005E156F">
              <w:rPr>
                <w:rFonts w:ascii="Calibri" w:hAnsi="Calibri" w:cs="Calibri"/>
              </w:rPr>
              <w:t> </w:t>
            </w:r>
            <w:r w:rsidRPr="005E156F">
              <w:rPr>
                <w:rFonts w:ascii="gobCL" w:hAnsi="gobCL" w:cstheme="minorHAnsi"/>
              </w:rPr>
              <w:t xml:space="preserve"> </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 xml:space="preserve">Calle San Marcos 384, Arica. </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(58) 2251078 / 2250516</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Tarapacá</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Baquedano 1073, Iquique.</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(57) 2423284 / 2425235 / 2427410</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Antofagasta</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Calle Prat 253, Antofagasta.</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(55) 2267258 / 2283814 / 2267005</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Atacama</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Atacama 660, Copiapó.</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(52) 231676</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Coquimbo</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Colón 848, La Serena.</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(51) 224540</w:t>
            </w:r>
          </w:p>
        </w:tc>
      </w:tr>
      <w:tr w:rsidR="001A38BC" w:rsidRPr="005E156F" w:rsidTr="0061231C">
        <w:trPr>
          <w:trHeight w:val="371"/>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Valparaíso</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 xml:space="preserve">Plaza Sotomayor 233, piso 2, Valparaíso. </w:t>
            </w:r>
          </w:p>
          <w:p w:rsidR="001A38BC" w:rsidRPr="005E156F" w:rsidRDefault="001A38BC" w:rsidP="00D47199">
            <w:pPr>
              <w:spacing w:line="360" w:lineRule="auto"/>
              <w:jc w:val="center"/>
              <w:rPr>
                <w:rFonts w:ascii="gobCL" w:hAnsi="gobCL" w:cstheme="minorHAnsi"/>
                <w:lang w:val="en-US"/>
              </w:rPr>
            </w:pPr>
            <w:r w:rsidRPr="005E156F">
              <w:rPr>
                <w:rFonts w:ascii="gobCL" w:hAnsi="gobCL" w:cstheme="minorHAnsi"/>
              </w:rPr>
              <w:t xml:space="preserve">Oficina enlace Rapa </w:t>
            </w:r>
            <w:proofErr w:type="spellStart"/>
            <w:r w:rsidRPr="005E156F">
              <w:rPr>
                <w:rFonts w:ascii="gobCL" w:hAnsi="gobCL" w:cstheme="minorHAnsi"/>
              </w:rPr>
              <w:t>Nui</w:t>
            </w:r>
            <w:proofErr w:type="spellEnd"/>
            <w:r w:rsidRPr="005E156F">
              <w:rPr>
                <w:rFonts w:ascii="gobCL" w:hAnsi="gobCL" w:cstheme="minorHAnsi"/>
              </w:rPr>
              <w:t xml:space="preserve">: Avda. </w:t>
            </w:r>
            <w:r w:rsidRPr="005E156F">
              <w:rPr>
                <w:rFonts w:ascii="gobCL" w:hAnsi="gobCL" w:cstheme="minorHAnsi"/>
                <w:lang w:val="en-US"/>
              </w:rPr>
              <w:t>Pont s/n, Rapa Nui.</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(32) 2326074</w:t>
            </w:r>
          </w:p>
          <w:p w:rsidR="001A38BC" w:rsidRPr="005E156F" w:rsidRDefault="001A38BC" w:rsidP="006F70F9">
            <w:pPr>
              <w:spacing w:line="360" w:lineRule="auto"/>
              <w:jc w:val="center"/>
              <w:rPr>
                <w:rFonts w:ascii="gobCL" w:hAnsi="gobCL" w:cstheme="minorHAnsi"/>
              </w:rPr>
            </w:pPr>
            <w:r w:rsidRPr="005E156F">
              <w:rPr>
                <w:rFonts w:ascii="gobCL" w:hAnsi="gobCL" w:cstheme="minorHAnsi"/>
              </w:rPr>
              <w:t xml:space="preserve">Enlace Rapa </w:t>
            </w:r>
            <w:proofErr w:type="spellStart"/>
            <w:r w:rsidRPr="005E156F">
              <w:rPr>
                <w:rFonts w:ascii="gobCL" w:hAnsi="gobCL" w:cstheme="minorHAnsi"/>
              </w:rPr>
              <w:t>Nui</w:t>
            </w:r>
            <w:proofErr w:type="spellEnd"/>
            <w:r w:rsidRPr="005E156F">
              <w:rPr>
                <w:rFonts w:ascii="gobCL" w:hAnsi="gobCL" w:cstheme="minorHAnsi"/>
              </w:rPr>
              <w:t xml:space="preserve"> (32) 2100255</w:t>
            </w:r>
          </w:p>
        </w:tc>
      </w:tr>
      <w:tr w:rsidR="001A38BC" w:rsidRPr="005E156F" w:rsidTr="0061231C">
        <w:trPr>
          <w:trHeight w:val="242"/>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O’Higgins</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Gamero N° 551, Rancagua.</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(72) 2235116 / 2242779</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Maule</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Calle 3 Oriente N° 1072, Talca.</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(71) 2216433</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Biobío</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Carrera 556, Chillán.</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(42) 2219671 / 2244016 / 2226703</w:t>
            </w:r>
          </w:p>
        </w:tc>
      </w:tr>
      <w:tr w:rsidR="001A38BC" w:rsidRPr="005E156F" w:rsidTr="0061231C">
        <w:trPr>
          <w:trHeight w:val="203"/>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Ñuble</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Cochrane 1064, Concepción.</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(41) 2221127 / 2224829 / 2247515</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Araucanía</w:t>
            </w:r>
          </w:p>
        </w:tc>
        <w:tc>
          <w:tcPr>
            <w:tcW w:w="2009" w:type="pct"/>
            <w:noWrap/>
            <w:hideMark/>
          </w:tcPr>
          <w:p w:rsidR="001A38BC" w:rsidRPr="005E156F" w:rsidRDefault="001A38BC" w:rsidP="00D47199">
            <w:pPr>
              <w:spacing w:line="360" w:lineRule="auto"/>
              <w:jc w:val="center"/>
              <w:rPr>
                <w:rFonts w:ascii="gobCL" w:hAnsi="gobCL" w:cstheme="minorHAnsi"/>
              </w:rPr>
            </w:pPr>
            <w:proofErr w:type="spellStart"/>
            <w:r w:rsidRPr="005E156F">
              <w:rPr>
                <w:rFonts w:ascii="gobCL" w:hAnsi="gobCL" w:cstheme="minorHAnsi"/>
              </w:rPr>
              <w:t>Phillippi</w:t>
            </w:r>
            <w:proofErr w:type="spellEnd"/>
            <w:r w:rsidRPr="005E156F">
              <w:rPr>
                <w:rFonts w:ascii="gobCL" w:hAnsi="gobCL" w:cstheme="minorHAnsi"/>
              </w:rPr>
              <w:t xml:space="preserve"> 672-C, Temuco.</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(45) 2213445 / 2238768</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Los Ríos</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General Lagos 1234, Valdivia.</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(63) 2239254</w:t>
            </w:r>
          </w:p>
        </w:tc>
      </w:tr>
      <w:tr w:rsidR="001A38BC" w:rsidRPr="005E156F" w:rsidTr="0061231C">
        <w:trPr>
          <w:trHeight w:val="166"/>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Los Lagos</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Avda. X Región 480, Puerto Montt. Edificio Anexo Intendencia.</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(65) 434491</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Aysén</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21 de Mayo 574, Coyhaique.</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(67) 2214841</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Magallanes</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Pedro Montt 809, Punta Arenas.</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(61) 2614458</w:t>
            </w:r>
          </w:p>
        </w:tc>
      </w:tr>
      <w:tr w:rsidR="001A38BC" w:rsidRPr="005E156F" w:rsidTr="0061231C">
        <w:trPr>
          <w:trHeight w:val="255"/>
        </w:trPr>
        <w:tc>
          <w:tcPr>
            <w:tcW w:w="986" w:type="pct"/>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Metropolitana</w:t>
            </w:r>
          </w:p>
        </w:tc>
        <w:tc>
          <w:tcPr>
            <w:tcW w:w="2009" w:type="pct"/>
            <w:noWrap/>
            <w:hideMark/>
          </w:tcPr>
          <w:p w:rsidR="001A38BC" w:rsidRPr="005E156F" w:rsidRDefault="001A38BC" w:rsidP="00D47199">
            <w:pPr>
              <w:spacing w:line="360" w:lineRule="auto"/>
              <w:jc w:val="center"/>
              <w:rPr>
                <w:rFonts w:ascii="gobCL" w:hAnsi="gobCL" w:cstheme="minorHAnsi"/>
              </w:rPr>
            </w:pPr>
            <w:r w:rsidRPr="005E156F">
              <w:rPr>
                <w:rFonts w:ascii="gobCL" w:hAnsi="gobCL" w:cstheme="minorHAnsi"/>
              </w:rPr>
              <w:t>Ahumada 48, Piso 4º, Santiago.</w:t>
            </w:r>
          </w:p>
        </w:tc>
        <w:tc>
          <w:tcPr>
            <w:tcW w:w="2005" w:type="pct"/>
            <w:hideMark/>
          </w:tcPr>
          <w:p w:rsidR="001A38BC" w:rsidRPr="005E156F" w:rsidRDefault="001A38BC" w:rsidP="006F70F9">
            <w:pPr>
              <w:spacing w:line="360" w:lineRule="auto"/>
              <w:jc w:val="center"/>
              <w:rPr>
                <w:rFonts w:ascii="gobCL" w:hAnsi="gobCL" w:cstheme="minorHAnsi"/>
              </w:rPr>
            </w:pPr>
            <w:r w:rsidRPr="005E156F">
              <w:rPr>
                <w:rFonts w:ascii="gobCL" w:hAnsi="gobCL" w:cstheme="minorHAnsi"/>
              </w:rPr>
              <w:t>(02) 26189030</w:t>
            </w:r>
          </w:p>
        </w:tc>
      </w:tr>
      <w:tr w:rsidR="005E156F" w:rsidRPr="005E156F" w:rsidTr="0061231C">
        <w:tc>
          <w:tcPr>
            <w:tcW w:w="986" w:type="pct"/>
            <w:hideMark/>
          </w:tcPr>
          <w:p w:rsidR="005E156F" w:rsidRPr="005E156F" w:rsidRDefault="005E156F" w:rsidP="005E156F">
            <w:pPr>
              <w:spacing w:line="360" w:lineRule="auto"/>
              <w:jc w:val="center"/>
              <w:rPr>
                <w:rFonts w:ascii="gobCL" w:eastAsia="Times New Roman" w:hAnsi="gobCL"/>
                <w:lang w:eastAsia="es-CL"/>
              </w:rPr>
            </w:pPr>
            <w:r w:rsidRPr="005E156F">
              <w:rPr>
                <w:rFonts w:ascii="gobCL" w:eastAsia="Times New Roman" w:hAnsi="gobCL"/>
                <w:lang w:eastAsia="es-CL"/>
              </w:rPr>
              <w:t>Centro Nacional de Arte Contemporáneo Cerrillos</w:t>
            </w:r>
          </w:p>
        </w:tc>
        <w:tc>
          <w:tcPr>
            <w:tcW w:w="2009" w:type="pct"/>
            <w:hideMark/>
          </w:tcPr>
          <w:p w:rsidR="005E156F" w:rsidRPr="005E156F" w:rsidRDefault="005E156F" w:rsidP="005E156F">
            <w:pPr>
              <w:spacing w:line="360" w:lineRule="auto"/>
              <w:jc w:val="center"/>
              <w:rPr>
                <w:rFonts w:ascii="gobCL" w:eastAsia="Times New Roman" w:hAnsi="gobCL"/>
                <w:lang w:eastAsia="es-CL"/>
              </w:rPr>
            </w:pPr>
            <w:r w:rsidRPr="005E156F">
              <w:rPr>
                <w:rFonts w:ascii="gobCL" w:eastAsia="Times New Roman" w:hAnsi="gobCL"/>
                <w:lang w:eastAsia="es-CL"/>
              </w:rPr>
              <w:t>Av. Pedro Aguirre Cerda 6100, Los Cerrillos, Cerrillos, Región Metropolitana</w:t>
            </w:r>
          </w:p>
        </w:tc>
        <w:tc>
          <w:tcPr>
            <w:tcW w:w="2005" w:type="pct"/>
            <w:hideMark/>
          </w:tcPr>
          <w:p w:rsidR="005E156F" w:rsidRPr="005E156F" w:rsidRDefault="005E156F" w:rsidP="005E156F">
            <w:pPr>
              <w:spacing w:line="360" w:lineRule="auto"/>
              <w:jc w:val="center"/>
              <w:rPr>
                <w:rFonts w:ascii="gobCL" w:eastAsia="Times New Roman" w:hAnsi="gobCL"/>
                <w:lang w:eastAsia="es-CL"/>
              </w:rPr>
            </w:pPr>
            <w:r>
              <w:rPr>
                <w:rFonts w:ascii="gobCL" w:eastAsia="Times New Roman" w:hAnsi="gobCL"/>
                <w:lang w:eastAsia="es-CL"/>
              </w:rPr>
              <w:t>(0</w:t>
            </w:r>
            <w:r w:rsidRPr="005E156F">
              <w:rPr>
                <w:rFonts w:ascii="gobCL" w:eastAsia="Times New Roman" w:hAnsi="gobCL"/>
                <w:lang w:eastAsia="es-CL"/>
              </w:rPr>
              <w:t>2) 2539 1811</w:t>
            </w:r>
          </w:p>
        </w:tc>
      </w:tr>
    </w:tbl>
    <w:p w:rsidR="00263995" w:rsidRPr="00D47199" w:rsidRDefault="00263995" w:rsidP="00D47199">
      <w:pPr>
        <w:spacing w:line="360" w:lineRule="auto"/>
        <w:jc w:val="center"/>
        <w:rPr>
          <w:rFonts w:ascii="gobCL" w:hAnsi="gobCL" w:cstheme="minorHAnsi"/>
          <w:sz w:val="24"/>
          <w:szCs w:val="24"/>
        </w:rPr>
      </w:pPr>
    </w:p>
    <w:p w:rsidR="001A38BC" w:rsidRPr="005E156F" w:rsidRDefault="001A38BC" w:rsidP="00D47199">
      <w:pPr>
        <w:spacing w:line="360" w:lineRule="auto"/>
        <w:jc w:val="center"/>
        <w:rPr>
          <w:rFonts w:ascii="gobCL" w:hAnsi="gobCL" w:cstheme="minorHAnsi"/>
          <w:b/>
          <w:sz w:val="24"/>
          <w:szCs w:val="24"/>
        </w:rPr>
      </w:pPr>
      <w:r w:rsidRPr="005E156F">
        <w:rPr>
          <w:rFonts w:ascii="gobCL" w:hAnsi="gobCL" w:cstheme="minorHAnsi"/>
          <w:b/>
          <w:sz w:val="24"/>
          <w:szCs w:val="24"/>
        </w:rPr>
        <w:t xml:space="preserve">Horarios de Atención Nivel Central: Lunes a jueves de 9:00 a 14:00 y de 15:00 a 18:00 </w:t>
      </w:r>
      <w:r w:rsidR="005922DD" w:rsidRPr="005E156F">
        <w:rPr>
          <w:rFonts w:ascii="gobCL" w:hAnsi="gobCL" w:cstheme="minorHAnsi"/>
          <w:b/>
          <w:sz w:val="24"/>
          <w:szCs w:val="24"/>
        </w:rPr>
        <w:t>horas</w:t>
      </w:r>
      <w:r w:rsidRPr="005E156F">
        <w:rPr>
          <w:rFonts w:ascii="gobCL" w:hAnsi="gobCL" w:cstheme="minorHAnsi"/>
          <w:b/>
          <w:sz w:val="24"/>
          <w:szCs w:val="24"/>
        </w:rPr>
        <w:t xml:space="preserve"> / Viernes de 9:00 a 14:00 y de 15:00 a 17:00 </w:t>
      </w:r>
      <w:r w:rsidR="005922DD" w:rsidRPr="005E156F">
        <w:rPr>
          <w:rFonts w:ascii="gobCL" w:hAnsi="gobCL" w:cstheme="minorHAnsi"/>
          <w:b/>
          <w:sz w:val="24"/>
          <w:szCs w:val="24"/>
        </w:rPr>
        <w:t>horas</w:t>
      </w:r>
      <w:r w:rsidRPr="005E156F">
        <w:rPr>
          <w:rFonts w:ascii="gobCL" w:hAnsi="gobCL" w:cstheme="minorHAnsi"/>
          <w:b/>
          <w:sz w:val="24"/>
          <w:szCs w:val="24"/>
        </w:rPr>
        <w:t>.</w:t>
      </w:r>
    </w:p>
    <w:p w:rsidR="001A38BC" w:rsidRPr="00D47199" w:rsidRDefault="001A38BC" w:rsidP="00D47199">
      <w:pPr>
        <w:spacing w:line="360" w:lineRule="auto"/>
        <w:jc w:val="center"/>
        <w:rPr>
          <w:rFonts w:ascii="gobCL" w:hAnsi="gobCL" w:cstheme="minorHAnsi"/>
          <w:sz w:val="24"/>
          <w:szCs w:val="24"/>
        </w:rPr>
      </w:pPr>
    </w:p>
    <w:p w:rsidR="00263995" w:rsidRPr="00D47199" w:rsidRDefault="00263995" w:rsidP="00D47199">
      <w:pPr>
        <w:spacing w:line="360" w:lineRule="auto"/>
        <w:jc w:val="center"/>
        <w:rPr>
          <w:rFonts w:ascii="gobCL" w:hAnsi="gobCL" w:cstheme="minorHAnsi"/>
          <w:sz w:val="24"/>
          <w:szCs w:val="24"/>
        </w:rPr>
      </w:pPr>
    </w:p>
    <w:p w:rsidR="001A38BC" w:rsidRPr="00D47199" w:rsidRDefault="001A38BC" w:rsidP="00D47199">
      <w:pPr>
        <w:spacing w:line="360" w:lineRule="auto"/>
        <w:rPr>
          <w:rFonts w:ascii="gobCL" w:hAnsi="gobCL" w:cstheme="minorHAnsi"/>
          <w:b/>
          <w:sz w:val="24"/>
          <w:szCs w:val="24"/>
        </w:rPr>
      </w:pPr>
      <w:r w:rsidRPr="00D47199">
        <w:rPr>
          <w:rFonts w:ascii="gobCL" w:hAnsi="gobCL" w:cstheme="minorHAnsi"/>
          <w:b/>
          <w:sz w:val="24"/>
          <w:szCs w:val="24"/>
        </w:rPr>
        <w:t>OTROS ESPACIOS DE CONTACTO</w:t>
      </w:r>
    </w:p>
    <w:tbl>
      <w:tblPr>
        <w:tblStyle w:val="Cuadrculadetablaclara"/>
        <w:tblW w:w="0" w:type="auto"/>
        <w:jc w:val="center"/>
        <w:tblLook w:val="04A0" w:firstRow="1" w:lastRow="0" w:firstColumn="1" w:lastColumn="0" w:noHBand="0" w:noVBand="1"/>
      </w:tblPr>
      <w:tblGrid>
        <w:gridCol w:w="4219"/>
        <w:gridCol w:w="4252"/>
      </w:tblGrid>
      <w:tr w:rsidR="001A38BC" w:rsidRPr="00D47199" w:rsidTr="005E156F">
        <w:trPr>
          <w:jc w:val="center"/>
        </w:trPr>
        <w:tc>
          <w:tcPr>
            <w:tcW w:w="4219" w:type="dxa"/>
            <w:hideMark/>
          </w:tcPr>
          <w:p w:rsidR="001A38BC" w:rsidRPr="005E156F" w:rsidRDefault="005E156F" w:rsidP="00D47199">
            <w:pPr>
              <w:spacing w:line="360" w:lineRule="auto"/>
              <w:rPr>
                <w:rFonts w:ascii="gobCL" w:hAnsi="gobCL"/>
                <w:bCs/>
                <w:color w:val="000000"/>
                <w:sz w:val="24"/>
                <w:szCs w:val="24"/>
                <w:lang w:eastAsia="es-CL"/>
              </w:rPr>
            </w:pPr>
            <w:r w:rsidRPr="005E156F">
              <w:rPr>
                <w:rFonts w:ascii="gobCL" w:hAnsi="gobCL"/>
                <w:bCs/>
                <w:color w:val="000000"/>
                <w:sz w:val="24"/>
                <w:szCs w:val="24"/>
                <w:lang w:eastAsia="es-CL"/>
              </w:rPr>
              <w:t>CENTRO DE ATENCIÓN FONDOS (CENTRO LLAMADAS)</w:t>
            </w:r>
            <w:r w:rsidRPr="005E156F">
              <w:rPr>
                <w:rFonts w:ascii="Calibri" w:hAnsi="Calibri" w:cs="Calibri"/>
                <w:bCs/>
                <w:color w:val="000000"/>
                <w:sz w:val="24"/>
                <w:szCs w:val="24"/>
                <w:lang w:eastAsia="es-CL"/>
              </w:rPr>
              <w:t>          </w:t>
            </w:r>
            <w:r w:rsidRPr="005E156F">
              <w:rPr>
                <w:rFonts w:ascii="gobCL" w:hAnsi="gobCL"/>
                <w:bCs/>
                <w:color w:val="000000"/>
                <w:sz w:val="24"/>
                <w:szCs w:val="24"/>
                <w:lang w:eastAsia="es-CL"/>
              </w:rPr>
              <w:t xml:space="preserve"> </w:t>
            </w:r>
            <w:r w:rsidRPr="005E156F">
              <w:rPr>
                <w:rFonts w:ascii="Calibri" w:hAnsi="Calibri" w:cs="Calibri"/>
                <w:bCs/>
                <w:color w:val="000000"/>
                <w:sz w:val="24"/>
                <w:szCs w:val="24"/>
                <w:lang w:eastAsia="es-CL"/>
              </w:rPr>
              <w:t>                       </w:t>
            </w:r>
            <w:r w:rsidRPr="005E156F">
              <w:rPr>
                <w:rFonts w:ascii="gobCL" w:hAnsi="gobCL"/>
                <w:bCs/>
                <w:color w:val="000000"/>
                <w:sz w:val="24"/>
                <w:szCs w:val="24"/>
                <w:lang w:eastAsia="es-CL"/>
              </w:rPr>
              <w:t xml:space="preserve"> </w:t>
            </w:r>
          </w:p>
        </w:tc>
        <w:tc>
          <w:tcPr>
            <w:tcW w:w="4252" w:type="dxa"/>
            <w:hideMark/>
          </w:tcPr>
          <w:p w:rsidR="001A38BC" w:rsidRPr="00D47199" w:rsidRDefault="001A38BC" w:rsidP="00D47199">
            <w:pPr>
              <w:spacing w:line="360" w:lineRule="auto"/>
              <w:jc w:val="right"/>
              <w:rPr>
                <w:rFonts w:ascii="gobCL" w:hAnsi="gobCL"/>
                <w:b/>
                <w:bCs/>
                <w:color w:val="000000"/>
                <w:sz w:val="24"/>
                <w:szCs w:val="24"/>
                <w:lang w:eastAsia="es-CL"/>
              </w:rPr>
            </w:pPr>
            <w:r w:rsidRPr="00D47199">
              <w:rPr>
                <w:rFonts w:ascii="Calibri" w:hAnsi="Calibri" w:cs="Calibri"/>
                <w:b/>
                <w:bCs/>
                <w:color w:val="000000"/>
                <w:sz w:val="24"/>
                <w:szCs w:val="24"/>
                <w:lang w:eastAsia="es-CL"/>
              </w:rPr>
              <w:t>  </w:t>
            </w:r>
            <w:r w:rsidRPr="00D47199">
              <w:rPr>
                <w:rFonts w:ascii="gobCL" w:hAnsi="gobCL"/>
                <w:b/>
                <w:bCs/>
                <w:color w:val="000000"/>
                <w:sz w:val="24"/>
                <w:szCs w:val="24"/>
                <w:lang w:eastAsia="es-CL"/>
              </w:rPr>
              <w:t xml:space="preserve"> (32) 232 6000 (2) 2618 9250</w:t>
            </w:r>
          </w:p>
        </w:tc>
      </w:tr>
      <w:tr w:rsidR="001A38BC" w:rsidRPr="00D47199" w:rsidTr="005E156F">
        <w:trPr>
          <w:jc w:val="center"/>
        </w:trPr>
        <w:tc>
          <w:tcPr>
            <w:tcW w:w="4219" w:type="dxa"/>
            <w:hideMark/>
          </w:tcPr>
          <w:p w:rsidR="001A38BC" w:rsidRPr="005E156F" w:rsidRDefault="005E156F" w:rsidP="00D47199">
            <w:pPr>
              <w:spacing w:line="360" w:lineRule="auto"/>
              <w:rPr>
                <w:rFonts w:ascii="gobCL" w:hAnsi="gobCL"/>
                <w:bCs/>
                <w:color w:val="000000"/>
                <w:sz w:val="24"/>
                <w:szCs w:val="24"/>
                <w:lang w:eastAsia="es-CL"/>
              </w:rPr>
            </w:pPr>
            <w:r w:rsidRPr="005E156F">
              <w:rPr>
                <w:rFonts w:ascii="gobCL" w:hAnsi="gobCL"/>
                <w:bCs/>
                <w:color w:val="000000"/>
                <w:sz w:val="24"/>
                <w:szCs w:val="24"/>
                <w:lang w:eastAsia="es-CL"/>
              </w:rPr>
              <w:t>OFICINA DE INFORMACIONES, RECLAMOS Y SUGERENCIAS VIRTUAL</w:t>
            </w:r>
          </w:p>
        </w:tc>
        <w:tc>
          <w:tcPr>
            <w:tcW w:w="4252" w:type="dxa"/>
          </w:tcPr>
          <w:p w:rsidR="001A38BC" w:rsidRPr="00D47199" w:rsidRDefault="005E156F" w:rsidP="00D47199">
            <w:pPr>
              <w:spacing w:line="360" w:lineRule="auto"/>
              <w:jc w:val="right"/>
              <w:rPr>
                <w:rFonts w:ascii="gobCL" w:hAnsi="gobCL"/>
                <w:b/>
                <w:bCs/>
                <w:color w:val="365F91"/>
                <w:sz w:val="24"/>
                <w:szCs w:val="24"/>
              </w:rPr>
            </w:pPr>
            <w:r w:rsidRPr="005E156F">
              <w:rPr>
                <w:rFonts w:ascii="gobCL" w:hAnsi="gobCL"/>
                <w:sz w:val="24"/>
                <w:szCs w:val="24"/>
              </w:rPr>
              <w:t>https://siac.cultura.gob.cl/formulariosiac</w:t>
            </w:r>
            <w:hyperlink r:id="rId9" w:history="1">
              <w:r w:rsidR="001A38BC" w:rsidRPr="00D47199">
                <w:rPr>
                  <w:rStyle w:val="Hipervnculo"/>
                  <w:rFonts w:ascii="gobCL" w:hAnsi="gobCL"/>
                  <w:b/>
                  <w:bCs/>
                  <w:sz w:val="24"/>
                  <w:szCs w:val="24"/>
                </w:rPr>
                <w:t xml:space="preserve"> </w:t>
              </w:r>
            </w:hyperlink>
            <w:r w:rsidR="001A38BC" w:rsidRPr="00D47199">
              <w:rPr>
                <w:rFonts w:ascii="Calibri" w:hAnsi="Calibri" w:cs="Calibri"/>
                <w:b/>
                <w:bCs/>
                <w:color w:val="365F91"/>
                <w:sz w:val="24"/>
                <w:szCs w:val="24"/>
              </w:rPr>
              <w:t>  </w:t>
            </w:r>
          </w:p>
          <w:p w:rsidR="001A38BC" w:rsidRPr="00D47199" w:rsidRDefault="001A38BC" w:rsidP="005E156F">
            <w:pPr>
              <w:spacing w:line="360" w:lineRule="auto"/>
              <w:rPr>
                <w:rFonts w:ascii="gobCL" w:hAnsi="gobCL"/>
                <w:color w:val="000000"/>
                <w:sz w:val="24"/>
                <w:szCs w:val="24"/>
                <w:lang w:eastAsia="es-CL"/>
              </w:rPr>
            </w:pPr>
          </w:p>
        </w:tc>
      </w:tr>
    </w:tbl>
    <w:p w:rsidR="001A38BC" w:rsidRPr="00D47199" w:rsidRDefault="001A38BC" w:rsidP="00D47199">
      <w:pPr>
        <w:spacing w:line="360" w:lineRule="auto"/>
        <w:rPr>
          <w:rFonts w:ascii="gobCL" w:hAnsi="gobCL"/>
          <w:sz w:val="24"/>
          <w:szCs w:val="24"/>
          <w:lang w:val="es-ES"/>
        </w:rPr>
      </w:pPr>
    </w:p>
    <w:p w:rsidR="001A38BC" w:rsidRPr="00D47199" w:rsidRDefault="001A38BC" w:rsidP="00D47199">
      <w:pPr>
        <w:spacing w:line="360" w:lineRule="auto"/>
        <w:contextualSpacing/>
        <w:jc w:val="center"/>
        <w:rPr>
          <w:rFonts w:ascii="gobCL" w:hAnsi="gobCL" w:cstheme="minorHAnsi"/>
          <w:b/>
          <w:sz w:val="24"/>
          <w:szCs w:val="24"/>
        </w:rPr>
      </w:pPr>
    </w:p>
    <w:p w:rsidR="00D76378" w:rsidRPr="00D47199" w:rsidRDefault="00D76378" w:rsidP="00D47199">
      <w:pPr>
        <w:spacing w:line="360" w:lineRule="auto"/>
        <w:contextualSpacing/>
        <w:jc w:val="center"/>
        <w:rPr>
          <w:rFonts w:ascii="gobCL" w:hAnsi="gobCL" w:cstheme="minorHAnsi"/>
          <w:sz w:val="24"/>
          <w:szCs w:val="24"/>
          <w:lang w:val="es-ES"/>
        </w:rPr>
      </w:pPr>
    </w:p>
    <w:p w:rsidR="0044179E" w:rsidRPr="00D47199" w:rsidRDefault="0044179E" w:rsidP="00D47199">
      <w:pPr>
        <w:spacing w:line="360" w:lineRule="auto"/>
        <w:contextualSpacing/>
        <w:jc w:val="center"/>
        <w:rPr>
          <w:rFonts w:ascii="gobCL" w:hAnsi="gobCL" w:cstheme="minorHAnsi"/>
          <w:sz w:val="24"/>
          <w:szCs w:val="24"/>
          <w:lang w:val="es-ES"/>
        </w:rPr>
      </w:pPr>
    </w:p>
    <w:p w:rsidR="008C44B2" w:rsidRPr="005E156F" w:rsidRDefault="008E1E14" w:rsidP="00D47199">
      <w:pPr>
        <w:spacing w:line="360" w:lineRule="auto"/>
        <w:contextualSpacing/>
        <w:jc w:val="center"/>
        <w:rPr>
          <w:rFonts w:ascii="gobCL" w:hAnsi="gobCL"/>
          <w:sz w:val="28"/>
          <w:szCs w:val="28"/>
        </w:rPr>
      </w:pPr>
      <w:r w:rsidRPr="005E156F">
        <w:rPr>
          <w:rFonts w:ascii="gobCL" w:hAnsi="gobCL" w:cstheme="minorHAnsi"/>
          <w:sz w:val="28"/>
          <w:szCs w:val="28"/>
          <w:lang w:val="es-ES"/>
        </w:rPr>
        <w:t>Los horarios de atención de las sedes regionales los podrá encontrar en el link</w:t>
      </w:r>
      <w:r w:rsidRPr="005E156F">
        <w:rPr>
          <w:rFonts w:ascii="gobCL" w:eastAsia="Calibri" w:hAnsi="gobCL" w:cs="Times New Roman"/>
          <w:sz w:val="28"/>
          <w:szCs w:val="28"/>
          <w:lang w:eastAsia="es-CL"/>
        </w:rPr>
        <w:t xml:space="preserve"> </w:t>
      </w:r>
      <w:hyperlink r:id="rId10" w:history="1">
        <w:r w:rsidR="00CB79AE" w:rsidRPr="005E156F">
          <w:rPr>
            <w:rStyle w:val="Hipervnculo"/>
            <w:rFonts w:ascii="gobCL" w:eastAsia="Calibri" w:hAnsi="gobCL" w:cs="Times New Roman"/>
            <w:b/>
            <w:sz w:val="28"/>
            <w:szCs w:val="28"/>
            <w:lang w:eastAsia="es-CL"/>
          </w:rPr>
          <w:t>www.cultura.gob.cl/siac</w:t>
        </w:r>
      </w:hyperlink>
    </w:p>
    <w:p w:rsidR="00061D6D" w:rsidRPr="005E156F" w:rsidRDefault="00061D6D" w:rsidP="00D47199">
      <w:pPr>
        <w:spacing w:line="360" w:lineRule="auto"/>
        <w:contextualSpacing/>
        <w:jc w:val="center"/>
        <w:rPr>
          <w:rFonts w:ascii="gobCL" w:hAnsi="gobCL" w:cstheme="minorHAnsi"/>
          <w:b/>
          <w:sz w:val="28"/>
          <w:szCs w:val="28"/>
        </w:rPr>
      </w:pPr>
      <w:r w:rsidRPr="005E156F">
        <w:rPr>
          <w:rFonts w:ascii="gobCL" w:hAnsi="gobCL" w:cstheme="minorHAnsi"/>
          <w:b/>
          <w:sz w:val="28"/>
          <w:szCs w:val="28"/>
        </w:rPr>
        <w:t>O</w:t>
      </w:r>
      <w:r w:rsidR="009857B4" w:rsidRPr="005E156F">
        <w:rPr>
          <w:rFonts w:ascii="gobCL" w:hAnsi="gobCL" w:cstheme="minorHAnsi"/>
          <w:b/>
          <w:sz w:val="28"/>
          <w:szCs w:val="28"/>
        </w:rPr>
        <w:t>FICINA DE INFORMACIONES, RECLAMOS Y SUGERENCIAS VIRTUAL</w:t>
      </w:r>
      <w:r w:rsidRPr="005E156F">
        <w:rPr>
          <w:rFonts w:ascii="gobCL" w:hAnsi="gobCL" w:cstheme="minorHAnsi"/>
          <w:b/>
          <w:sz w:val="28"/>
          <w:szCs w:val="28"/>
        </w:rPr>
        <w:t xml:space="preserve">: </w:t>
      </w:r>
      <w:hyperlink r:id="rId11" w:history="1">
        <w:r w:rsidR="0044179E" w:rsidRPr="005E156F">
          <w:rPr>
            <w:rStyle w:val="Hipervnculo"/>
            <w:rFonts w:ascii="gobCL" w:hAnsi="gobCL" w:cstheme="minorHAnsi"/>
            <w:b/>
            <w:sz w:val="28"/>
            <w:szCs w:val="28"/>
          </w:rPr>
          <w:t>http://formsiac.cultura.gob.cl/</w:t>
        </w:r>
      </w:hyperlink>
    </w:p>
    <w:p w:rsidR="00CC6560" w:rsidRPr="005E156F" w:rsidRDefault="00CC6560" w:rsidP="00D47199">
      <w:pPr>
        <w:spacing w:line="360" w:lineRule="auto"/>
        <w:contextualSpacing/>
        <w:rPr>
          <w:rFonts w:ascii="gobCL" w:hAnsi="gobCL" w:cstheme="minorHAnsi"/>
          <w:sz w:val="28"/>
          <w:szCs w:val="28"/>
          <w:lang w:val="es-ES"/>
        </w:rPr>
      </w:pPr>
    </w:p>
    <w:p w:rsidR="00CC6560" w:rsidRPr="005E156F" w:rsidRDefault="00CC6560" w:rsidP="00D47199">
      <w:pPr>
        <w:spacing w:line="360" w:lineRule="auto"/>
        <w:contextualSpacing/>
        <w:rPr>
          <w:rFonts w:ascii="gobCL" w:hAnsi="gobCL" w:cstheme="minorHAnsi"/>
          <w:sz w:val="28"/>
          <w:szCs w:val="24"/>
          <w:lang w:val="es-ES"/>
        </w:rPr>
      </w:pPr>
    </w:p>
    <w:p w:rsidR="00CC6560" w:rsidRPr="00D47199" w:rsidRDefault="00CC6560" w:rsidP="00D47199">
      <w:pPr>
        <w:spacing w:line="360" w:lineRule="auto"/>
        <w:contextualSpacing/>
        <w:rPr>
          <w:rFonts w:ascii="gobCL" w:hAnsi="gobCL" w:cstheme="minorHAnsi"/>
          <w:sz w:val="24"/>
          <w:szCs w:val="24"/>
          <w:lang w:val="es-ES"/>
        </w:rPr>
      </w:pPr>
    </w:p>
    <w:sectPr w:rsidR="00CC6560" w:rsidRPr="00D47199" w:rsidSect="000A3EFB">
      <w:headerReference w:type="default" r:id="rId12"/>
      <w:pgSz w:w="12240" w:h="15840" w:code="1"/>
      <w:pgMar w:top="567" w:right="1467"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99" w:rsidRDefault="00AF1999" w:rsidP="005819DE">
      <w:pPr>
        <w:spacing w:after="0" w:line="240" w:lineRule="auto"/>
      </w:pPr>
      <w:r>
        <w:separator/>
      </w:r>
    </w:p>
  </w:endnote>
  <w:endnote w:type="continuationSeparator" w:id="0">
    <w:p w:rsidR="00AF1999" w:rsidRDefault="00AF1999" w:rsidP="0058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bCL">
    <w:panose1 w:val="02000603050000020004"/>
    <w:charset w:val="00"/>
    <w:family w:val="modern"/>
    <w:notTrueType/>
    <w:pitch w:val="variable"/>
    <w:sig w:usb0="00000007" w:usb1="00000000"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99" w:rsidRDefault="00AF1999" w:rsidP="005819DE">
      <w:pPr>
        <w:spacing w:after="0" w:line="240" w:lineRule="auto"/>
      </w:pPr>
      <w:r>
        <w:separator/>
      </w:r>
    </w:p>
  </w:footnote>
  <w:footnote w:type="continuationSeparator" w:id="0">
    <w:p w:rsidR="00AF1999" w:rsidRDefault="00AF1999" w:rsidP="0058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0D" w:rsidRDefault="00655D0D" w:rsidP="00655D0D">
    <w:pPr>
      <w:pStyle w:val="Encabezado"/>
      <w:rPr>
        <w:sz w:val="20"/>
      </w:rPr>
    </w:pPr>
    <w:r w:rsidRPr="00A802F5">
      <w:rPr>
        <w:rFonts w:cs="Arial"/>
        <w:noProof/>
        <w:lang w:eastAsia="es-CL"/>
      </w:rPr>
      <w:drawing>
        <wp:inline distT="0" distB="0" distL="0" distR="0" wp14:anchorId="28E55C9B" wp14:editId="021E5FC8">
          <wp:extent cx="819024" cy="740410"/>
          <wp:effectExtent l="0" t="0" r="635" b="2540"/>
          <wp:docPr id="15" name="Imagen 15" descr="http://www.cultura.gob.cl/wp-content/uploads/2018/03/logo-m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ltura.gob.cl/wp-content/uploads/2018/03/logo-mca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89" cy="752040"/>
                  </a:xfrm>
                  <a:prstGeom prst="rect">
                    <a:avLst/>
                  </a:prstGeom>
                  <a:noFill/>
                  <a:ln>
                    <a:noFill/>
                  </a:ln>
                </pic:spPr>
              </pic:pic>
            </a:graphicData>
          </a:graphic>
        </wp:inline>
      </w:drawing>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9"/>
    </w:tblGrid>
    <w:tr w:rsidR="00902A7C" w:rsidRPr="00902A7C" w:rsidTr="00902A7C">
      <w:trPr>
        <w:trHeight w:val="1046"/>
        <w:jc w:val="center"/>
      </w:trPr>
      <w:tc>
        <w:tcPr>
          <w:tcW w:w="6519" w:type="dxa"/>
          <w:vAlign w:val="center"/>
        </w:tcPr>
        <w:p w:rsidR="00902A7C" w:rsidRPr="00902A7C" w:rsidRDefault="00902A7C" w:rsidP="00C67956">
          <w:pPr>
            <w:contextualSpacing/>
            <w:jc w:val="center"/>
            <w:rPr>
              <w:rFonts w:cstheme="minorHAnsi"/>
              <w:b/>
              <w:sz w:val="24"/>
              <w:szCs w:val="24"/>
              <w:lang w:val="es-ES"/>
            </w:rPr>
          </w:pPr>
        </w:p>
        <w:p w:rsidR="00902A7C" w:rsidRPr="00902A7C" w:rsidRDefault="00902A7C" w:rsidP="00C67956">
          <w:pPr>
            <w:contextualSpacing/>
            <w:jc w:val="center"/>
            <w:rPr>
              <w:rFonts w:cstheme="minorHAnsi"/>
              <w:b/>
              <w:sz w:val="24"/>
              <w:szCs w:val="24"/>
              <w:lang w:val="es-ES"/>
            </w:rPr>
          </w:pPr>
          <w:r w:rsidRPr="00902A7C">
            <w:rPr>
              <w:rFonts w:cstheme="minorHAnsi"/>
              <w:b/>
              <w:sz w:val="24"/>
              <w:szCs w:val="24"/>
              <w:lang w:val="es-ES"/>
            </w:rPr>
            <w:t>CARTA DE COMPROMISOS</w:t>
          </w:r>
        </w:p>
        <w:p w:rsidR="00902A7C" w:rsidRPr="00902A7C" w:rsidRDefault="00902A7C" w:rsidP="00902A7C">
          <w:pPr>
            <w:contextualSpacing/>
            <w:jc w:val="center"/>
            <w:rPr>
              <w:rFonts w:cstheme="minorHAnsi"/>
              <w:b/>
              <w:sz w:val="24"/>
              <w:szCs w:val="24"/>
              <w:lang w:val="es-ES"/>
            </w:rPr>
          </w:pPr>
          <w:r w:rsidRPr="00902A7C">
            <w:rPr>
              <w:rFonts w:cstheme="minorHAnsi"/>
              <w:b/>
              <w:sz w:val="24"/>
              <w:szCs w:val="24"/>
              <w:lang w:val="es-ES"/>
            </w:rPr>
            <w:t>MINISTERIO DE LAS CULTURAS, LAS ARTES Y EL PATRIMONIO</w:t>
          </w:r>
        </w:p>
      </w:tc>
    </w:tr>
  </w:tbl>
  <w:p w:rsidR="00655D0D" w:rsidRDefault="00655D0D" w:rsidP="00902A7C">
    <w:pPr>
      <w:pStyle w:val="Encabezad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0"/>
      </w:pPr>
      <w:rPr>
        <w:rFonts w:hint="default"/>
        <w:color w:val="000000"/>
        <w:position w:val="0"/>
      </w:rPr>
    </w:lvl>
    <w:lvl w:ilvl="1">
      <w:start w:val="1"/>
      <w:numFmt w:val="bullet"/>
      <w:suff w:val="nothing"/>
      <w:lvlText w:val="o"/>
      <w:lvlJc w:val="left"/>
      <w:pPr>
        <w:ind w:left="0" w:firstLine="1440"/>
      </w:pPr>
      <w:rPr>
        <w:rFonts w:ascii="Courier New" w:eastAsia="ヒラギノ角ゴ Pro W3" w:hAnsi="Courier New"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1">
    <w:nsid w:val="03795565"/>
    <w:multiLevelType w:val="hybridMultilevel"/>
    <w:tmpl w:val="80A25CC4"/>
    <w:lvl w:ilvl="0" w:tplc="B95EC93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FE4492"/>
    <w:multiLevelType w:val="hybridMultilevel"/>
    <w:tmpl w:val="8BD4F00C"/>
    <w:lvl w:ilvl="0" w:tplc="22F2E9F8">
      <w:numFmt w:val="bullet"/>
      <w:lvlText w:val="-"/>
      <w:lvlJc w:val="left"/>
      <w:pPr>
        <w:ind w:left="720" w:hanging="360"/>
      </w:pPr>
      <w:rPr>
        <w:rFonts w:ascii="Century Gothic" w:eastAsia="ヒラギノ角ゴ Pro W3" w:hAnsi="Century Gothic"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997677"/>
    <w:multiLevelType w:val="hybridMultilevel"/>
    <w:tmpl w:val="04A8DE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93E45A9"/>
    <w:multiLevelType w:val="hybridMultilevel"/>
    <w:tmpl w:val="162616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D8619C"/>
    <w:multiLevelType w:val="hybridMultilevel"/>
    <w:tmpl w:val="B80AE264"/>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17D57317"/>
    <w:multiLevelType w:val="hybridMultilevel"/>
    <w:tmpl w:val="380CA0B8"/>
    <w:lvl w:ilvl="0" w:tplc="B95EC93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F8867E2"/>
    <w:multiLevelType w:val="multilevel"/>
    <w:tmpl w:val="0DFA9390"/>
    <w:lvl w:ilvl="0">
      <w:start w:val="1"/>
      <w:numFmt w:val="bullet"/>
      <w:lvlText w:val="-"/>
      <w:lvlJc w:val="left"/>
      <w:pPr>
        <w:tabs>
          <w:tab w:val="num" w:pos="720"/>
        </w:tabs>
        <w:ind w:left="720" w:hanging="360"/>
      </w:pPr>
      <w:rPr>
        <w:rFonts w:ascii="Calibri" w:hAnsi="Calibri" w:hint="default"/>
        <w:color w:val="000000"/>
        <w:position w:val="0"/>
      </w:rPr>
    </w:lvl>
    <w:lvl w:ilvl="1">
      <w:start w:val="1"/>
      <w:numFmt w:val="bullet"/>
      <w:suff w:val="nothing"/>
      <w:lvlText w:val="o"/>
      <w:lvlJc w:val="left"/>
      <w:pPr>
        <w:ind w:left="0" w:firstLine="1440"/>
      </w:pPr>
      <w:rPr>
        <w:rFonts w:ascii="Courier New" w:eastAsia="ヒラギノ角ゴ Pro W3" w:hAnsi="Courier New"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8">
    <w:nsid w:val="23C4558F"/>
    <w:multiLevelType w:val="hybridMultilevel"/>
    <w:tmpl w:val="2C1EDF6A"/>
    <w:lvl w:ilvl="0" w:tplc="B95EC93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5816411"/>
    <w:multiLevelType w:val="hybridMultilevel"/>
    <w:tmpl w:val="3F8C52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41400723"/>
    <w:multiLevelType w:val="hybridMultilevel"/>
    <w:tmpl w:val="F27C49F0"/>
    <w:lvl w:ilvl="0" w:tplc="B95EC93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7D37F52"/>
    <w:multiLevelType w:val="hybridMultilevel"/>
    <w:tmpl w:val="E72C0E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13E34CF"/>
    <w:multiLevelType w:val="hybridMultilevel"/>
    <w:tmpl w:val="2B385E4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5"/>
  </w:num>
  <w:num w:numId="6">
    <w:abstractNumId w:val="12"/>
  </w:num>
  <w:num w:numId="7">
    <w:abstractNumId w:val="4"/>
  </w:num>
  <w:num w:numId="8">
    <w:abstractNumId w:val="11"/>
  </w:num>
  <w:num w:numId="9">
    <w:abstractNumId w:val="3"/>
  </w:num>
  <w:num w:numId="10">
    <w:abstractNumId w:val="6"/>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7C"/>
    <w:rsid w:val="00040CE7"/>
    <w:rsid w:val="0004153F"/>
    <w:rsid w:val="00056687"/>
    <w:rsid w:val="00061D6D"/>
    <w:rsid w:val="00085BFE"/>
    <w:rsid w:val="00092189"/>
    <w:rsid w:val="000A3EFB"/>
    <w:rsid w:val="000C3761"/>
    <w:rsid w:val="000E13EF"/>
    <w:rsid w:val="000E22B2"/>
    <w:rsid w:val="000F7915"/>
    <w:rsid w:val="001037C1"/>
    <w:rsid w:val="001113C1"/>
    <w:rsid w:val="00147A37"/>
    <w:rsid w:val="00150D12"/>
    <w:rsid w:val="001712B2"/>
    <w:rsid w:val="0018079F"/>
    <w:rsid w:val="00194EEA"/>
    <w:rsid w:val="001963B9"/>
    <w:rsid w:val="001A38BC"/>
    <w:rsid w:val="001C3BF5"/>
    <w:rsid w:val="001C79B7"/>
    <w:rsid w:val="001E2BED"/>
    <w:rsid w:val="00211AA1"/>
    <w:rsid w:val="002358BC"/>
    <w:rsid w:val="002420C6"/>
    <w:rsid w:val="00242DC7"/>
    <w:rsid w:val="00253C12"/>
    <w:rsid w:val="00256C6E"/>
    <w:rsid w:val="00261EE8"/>
    <w:rsid w:val="00263995"/>
    <w:rsid w:val="0028047C"/>
    <w:rsid w:val="002A49BB"/>
    <w:rsid w:val="002C50A6"/>
    <w:rsid w:val="002F356D"/>
    <w:rsid w:val="002F752F"/>
    <w:rsid w:val="00300042"/>
    <w:rsid w:val="00300F5B"/>
    <w:rsid w:val="003052FF"/>
    <w:rsid w:val="00321E97"/>
    <w:rsid w:val="00342858"/>
    <w:rsid w:val="0037274C"/>
    <w:rsid w:val="00373411"/>
    <w:rsid w:val="00374DC6"/>
    <w:rsid w:val="003966EC"/>
    <w:rsid w:val="003C14BD"/>
    <w:rsid w:val="003D2199"/>
    <w:rsid w:val="0040424F"/>
    <w:rsid w:val="00406D31"/>
    <w:rsid w:val="00412649"/>
    <w:rsid w:val="004244B6"/>
    <w:rsid w:val="00435C39"/>
    <w:rsid w:val="00437D66"/>
    <w:rsid w:val="0044179E"/>
    <w:rsid w:val="0044470A"/>
    <w:rsid w:val="00446ED8"/>
    <w:rsid w:val="00453E9B"/>
    <w:rsid w:val="00497F0D"/>
    <w:rsid w:val="004C1393"/>
    <w:rsid w:val="004C5D69"/>
    <w:rsid w:val="004D25C1"/>
    <w:rsid w:val="004D4C81"/>
    <w:rsid w:val="005121EF"/>
    <w:rsid w:val="00524373"/>
    <w:rsid w:val="00527424"/>
    <w:rsid w:val="0055458B"/>
    <w:rsid w:val="005701C2"/>
    <w:rsid w:val="0057713E"/>
    <w:rsid w:val="005819DE"/>
    <w:rsid w:val="005922DD"/>
    <w:rsid w:val="005B2EBC"/>
    <w:rsid w:val="005E156F"/>
    <w:rsid w:val="0061231C"/>
    <w:rsid w:val="0063010F"/>
    <w:rsid w:val="00633C2C"/>
    <w:rsid w:val="00647351"/>
    <w:rsid w:val="00655D0D"/>
    <w:rsid w:val="006712EE"/>
    <w:rsid w:val="006838EB"/>
    <w:rsid w:val="006857A6"/>
    <w:rsid w:val="00695ADD"/>
    <w:rsid w:val="00696915"/>
    <w:rsid w:val="006A182D"/>
    <w:rsid w:val="006E6F2F"/>
    <w:rsid w:val="006F52F8"/>
    <w:rsid w:val="006F70F9"/>
    <w:rsid w:val="00720B86"/>
    <w:rsid w:val="0072696A"/>
    <w:rsid w:val="00737F3F"/>
    <w:rsid w:val="00742A66"/>
    <w:rsid w:val="007667CA"/>
    <w:rsid w:val="0077369C"/>
    <w:rsid w:val="00773950"/>
    <w:rsid w:val="00786FA6"/>
    <w:rsid w:val="007A7B77"/>
    <w:rsid w:val="007B0540"/>
    <w:rsid w:val="007B301C"/>
    <w:rsid w:val="008532AB"/>
    <w:rsid w:val="00897EEB"/>
    <w:rsid w:val="008A0310"/>
    <w:rsid w:val="008A0623"/>
    <w:rsid w:val="008A1BDC"/>
    <w:rsid w:val="008C44B2"/>
    <w:rsid w:val="008D07C7"/>
    <w:rsid w:val="008D2324"/>
    <w:rsid w:val="008E135E"/>
    <w:rsid w:val="008E1E14"/>
    <w:rsid w:val="00902A7C"/>
    <w:rsid w:val="009054D4"/>
    <w:rsid w:val="00914BDE"/>
    <w:rsid w:val="0095371C"/>
    <w:rsid w:val="00973D4F"/>
    <w:rsid w:val="00982CA3"/>
    <w:rsid w:val="009857B4"/>
    <w:rsid w:val="00992A7D"/>
    <w:rsid w:val="009B4436"/>
    <w:rsid w:val="009B7A7D"/>
    <w:rsid w:val="009D13E6"/>
    <w:rsid w:val="009D4E5F"/>
    <w:rsid w:val="00A27171"/>
    <w:rsid w:val="00A53FB2"/>
    <w:rsid w:val="00A95056"/>
    <w:rsid w:val="00AB3B26"/>
    <w:rsid w:val="00AC6643"/>
    <w:rsid w:val="00AC7396"/>
    <w:rsid w:val="00AD6DF9"/>
    <w:rsid w:val="00AE0B59"/>
    <w:rsid w:val="00AE53ED"/>
    <w:rsid w:val="00AF1475"/>
    <w:rsid w:val="00AF1605"/>
    <w:rsid w:val="00AF1999"/>
    <w:rsid w:val="00B05C07"/>
    <w:rsid w:val="00B34C7C"/>
    <w:rsid w:val="00B42C84"/>
    <w:rsid w:val="00B664B8"/>
    <w:rsid w:val="00B7211F"/>
    <w:rsid w:val="00B925CB"/>
    <w:rsid w:val="00BD4BD0"/>
    <w:rsid w:val="00BD6070"/>
    <w:rsid w:val="00BE0CD6"/>
    <w:rsid w:val="00C1176E"/>
    <w:rsid w:val="00C17165"/>
    <w:rsid w:val="00C53B93"/>
    <w:rsid w:val="00C60DF6"/>
    <w:rsid w:val="00C62697"/>
    <w:rsid w:val="00C72653"/>
    <w:rsid w:val="00C80FB7"/>
    <w:rsid w:val="00C85D44"/>
    <w:rsid w:val="00C955B8"/>
    <w:rsid w:val="00C97AE3"/>
    <w:rsid w:val="00CB14D4"/>
    <w:rsid w:val="00CB52CC"/>
    <w:rsid w:val="00CB79AE"/>
    <w:rsid w:val="00CC6560"/>
    <w:rsid w:val="00CD1390"/>
    <w:rsid w:val="00CE3EC1"/>
    <w:rsid w:val="00D01101"/>
    <w:rsid w:val="00D1687C"/>
    <w:rsid w:val="00D26894"/>
    <w:rsid w:val="00D47199"/>
    <w:rsid w:val="00D52483"/>
    <w:rsid w:val="00D54A2B"/>
    <w:rsid w:val="00D62FB1"/>
    <w:rsid w:val="00D67D58"/>
    <w:rsid w:val="00D70F2D"/>
    <w:rsid w:val="00D72CDC"/>
    <w:rsid w:val="00D76378"/>
    <w:rsid w:val="00D776FA"/>
    <w:rsid w:val="00D941CF"/>
    <w:rsid w:val="00DA4C1B"/>
    <w:rsid w:val="00DA5895"/>
    <w:rsid w:val="00DC436B"/>
    <w:rsid w:val="00E070A2"/>
    <w:rsid w:val="00E22607"/>
    <w:rsid w:val="00E36CCE"/>
    <w:rsid w:val="00EA54A5"/>
    <w:rsid w:val="00EE1DA4"/>
    <w:rsid w:val="00EE38F2"/>
    <w:rsid w:val="00F16F47"/>
    <w:rsid w:val="00F2224A"/>
    <w:rsid w:val="00F23BBC"/>
    <w:rsid w:val="00F24C1E"/>
    <w:rsid w:val="00F26DFF"/>
    <w:rsid w:val="00F35479"/>
    <w:rsid w:val="00F35B5E"/>
    <w:rsid w:val="00F871F7"/>
    <w:rsid w:val="00F90469"/>
    <w:rsid w:val="00FB3BBA"/>
    <w:rsid w:val="00FB7B2A"/>
    <w:rsid w:val="00FE1E2B"/>
    <w:rsid w:val="00FE414C"/>
    <w:rsid w:val="00FF2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1A96E-0D01-4574-B882-2061CDD6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6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C14BD"/>
    <w:pPr>
      <w:ind w:left="720"/>
      <w:contextualSpacing/>
    </w:pPr>
  </w:style>
  <w:style w:type="character" w:styleId="Hipervnculo">
    <w:name w:val="Hyperlink"/>
    <w:basedOn w:val="Fuentedeprrafopredeter"/>
    <w:uiPriority w:val="99"/>
    <w:unhideWhenUsed/>
    <w:rsid w:val="00CE3EC1"/>
    <w:rPr>
      <w:color w:val="0000FF" w:themeColor="hyperlink"/>
      <w:u w:val="single"/>
    </w:rPr>
  </w:style>
  <w:style w:type="paragraph" w:customStyle="1" w:styleId="Car">
    <w:name w:val="Car"/>
    <w:basedOn w:val="Normal"/>
    <w:rsid w:val="0063010F"/>
    <w:pPr>
      <w:spacing w:after="160" w:line="240" w:lineRule="exact"/>
    </w:pPr>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6301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10F"/>
    <w:rPr>
      <w:rFonts w:ascii="Tahoma" w:hAnsi="Tahoma" w:cs="Tahoma"/>
      <w:sz w:val="16"/>
      <w:szCs w:val="16"/>
    </w:rPr>
  </w:style>
  <w:style w:type="table" w:styleId="Cuadrculaclara-nfasis3">
    <w:name w:val="Light Grid Accent 3"/>
    <w:basedOn w:val="Tablanormal"/>
    <w:uiPriority w:val="62"/>
    <w:rsid w:val="00CB79A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unhideWhenUsed/>
    <w:rsid w:val="005819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9DE"/>
  </w:style>
  <w:style w:type="paragraph" w:styleId="Piedepgina">
    <w:name w:val="footer"/>
    <w:basedOn w:val="Normal"/>
    <w:link w:val="PiedepginaCar"/>
    <w:uiPriority w:val="99"/>
    <w:unhideWhenUsed/>
    <w:rsid w:val="005819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9DE"/>
  </w:style>
  <w:style w:type="table" w:styleId="Cuadrculaclara-nfasis1">
    <w:name w:val="Light Grid Accent 1"/>
    <w:basedOn w:val="Tablanormal"/>
    <w:uiPriority w:val="62"/>
    <w:rsid w:val="006969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TMLconformatoprevio">
    <w:name w:val="HTML Preformatted"/>
    <w:basedOn w:val="Normal"/>
    <w:link w:val="HTMLconformatoprevioCar"/>
    <w:uiPriority w:val="99"/>
    <w:unhideWhenUsed/>
    <w:rsid w:val="0010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1037C1"/>
    <w:rPr>
      <w:rFonts w:ascii="Courier New" w:eastAsia="Times New Roman" w:hAnsi="Courier New" w:cs="Courier New"/>
      <w:sz w:val="20"/>
      <w:szCs w:val="20"/>
      <w:lang w:eastAsia="es-CL"/>
    </w:rPr>
  </w:style>
  <w:style w:type="paragraph" w:styleId="NormalWeb">
    <w:name w:val="Normal (Web)"/>
    <w:basedOn w:val="Normal"/>
    <w:uiPriority w:val="99"/>
    <w:semiHidden/>
    <w:unhideWhenUsed/>
    <w:rsid w:val="00D4719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47199"/>
    <w:rPr>
      <w:b/>
      <w:bCs/>
    </w:rPr>
  </w:style>
  <w:style w:type="table" w:styleId="Cuadrculadetablaclara">
    <w:name w:val="Grid Table Light"/>
    <w:basedOn w:val="Tablanormal"/>
    <w:uiPriority w:val="40"/>
    <w:rsid w:val="005E156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visin">
    <w:name w:val="Revision"/>
    <w:hidden/>
    <w:uiPriority w:val="99"/>
    <w:semiHidden/>
    <w:rsid w:val="000F7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36514">
      <w:bodyDiv w:val="1"/>
      <w:marLeft w:val="0"/>
      <w:marRight w:val="0"/>
      <w:marTop w:val="0"/>
      <w:marBottom w:val="0"/>
      <w:divBdr>
        <w:top w:val="none" w:sz="0" w:space="0" w:color="auto"/>
        <w:left w:val="none" w:sz="0" w:space="0" w:color="auto"/>
        <w:bottom w:val="none" w:sz="0" w:space="0" w:color="auto"/>
        <w:right w:val="none" w:sz="0" w:space="0" w:color="auto"/>
      </w:divBdr>
    </w:div>
    <w:div w:id="542596212">
      <w:bodyDiv w:val="1"/>
      <w:marLeft w:val="0"/>
      <w:marRight w:val="0"/>
      <w:marTop w:val="0"/>
      <w:marBottom w:val="0"/>
      <w:divBdr>
        <w:top w:val="none" w:sz="0" w:space="0" w:color="auto"/>
        <w:left w:val="none" w:sz="0" w:space="0" w:color="auto"/>
        <w:bottom w:val="none" w:sz="0" w:space="0" w:color="auto"/>
        <w:right w:val="none" w:sz="0" w:space="0" w:color="auto"/>
      </w:divBdr>
      <w:divsChild>
        <w:div w:id="1260870603">
          <w:marLeft w:val="0"/>
          <w:marRight w:val="0"/>
          <w:marTop w:val="0"/>
          <w:marBottom w:val="0"/>
          <w:divBdr>
            <w:top w:val="none" w:sz="0" w:space="0" w:color="auto"/>
            <w:left w:val="none" w:sz="0" w:space="0" w:color="auto"/>
            <w:bottom w:val="none" w:sz="0" w:space="0" w:color="auto"/>
            <w:right w:val="none" w:sz="0" w:space="0" w:color="auto"/>
          </w:divBdr>
          <w:divsChild>
            <w:div w:id="825129997">
              <w:marLeft w:val="150"/>
              <w:marRight w:val="0"/>
              <w:marTop w:val="0"/>
              <w:marBottom w:val="0"/>
              <w:divBdr>
                <w:top w:val="none" w:sz="0" w:space="0" w:color="auto"/>
                <w:left w:val="none" w:sz="0" w:space="0" w:color="auto"/>
                <w:bottom w:val="none" w:sz="0" w:space="0" w:color="auto"/>
                <w:right w:val="none" w:sz="0" w:space="0" w:color="auto"/>
              </w:divBdr>
              <w:divsChild>
                <w:div w:id="344476748">
                  <w:marLeft w:val="0"/>
                  <w:marRight w:val="0"/>
                  <w:marTop w:val="0"/>
                  <w:marBottom w:val="0"/>
                  <w:divBdr>
                    <w:top w:val="none" w:sz="0" w:space="0" w:color="auto"/>
                    <w:left w:val="none" w:sz="0" w:space="0" w:color="auto"/>
                    <w:bottom w:val="none" w:sz="0" w:space="0" w:color="auto"/>
                    <w:right w:val="none" w:sz="0" w:space="0" w:color="auto"/>
                  </w:divBdr>
                  <w:divsChild>
                    <w:div w:id="339164990">
                      <w:marLeft w:val="0"/>
                      <w:marRight w:val="0"/>
                      <w:marTop w:val="0"/>
                      <w:marBottom w:val="0"/>
                      <w:divBdr>
                        <w:top w:val="none" w:sz="0" w:space="0" w:color="auto"/>
                        <w:left w:val="none" w:sz="0" w:space="0" w:color="auto"/>
                        <w:bottom w:val="none" w:sz="0" w:space="0" w:color="auto"/>
                        <w:right w:val="none" w:sz="0" w:space="0" w:color="auto"/>
                      </w:divBdr>
                      <w:divsChild>
                        <w:div w:id="1609778638">
                          <w:marLeft w:val="0"/>
                          <w:marRight w:val="0"/>
                          <w:marTop w:val="0"/>
                          <w:marBottom w:val="0"/>
                          <w:divBdr>
                            <w:top w:val="none" w:sz="0" w:space="0" w:color="auto"/>
                            <w:left w:val="none" w:sz="0" w:space="0" w:color="auto"/>
                            <w:bottom w:val="none" w:sz="0" w:space="0" w:color="auto"/>
                            <w:right w:val="none" w:sz="0" w:space="0" w:color="auto"/>
                          </w:divBdr>
                          <w:divsChild>
                            <w:div w:id="1157844523">
                              <w:marLeft w:val="0"/>
                              <w:marRight w:val="0"/>
                              <w:marTop w:val="0"/>
                              <w:marBottom w:val="0"/>
                              <w:divBdr>
                                <w:top w:val="none" w:sz="0" w:space="0" w:color="auto"/>
                                <w:left w:val="none" w:sz="0" w:space="0" w:color="auto"/>
                                <w:bottom w:val="none" w:sz="0" w:space="0" w:color="auto"/>
                                <w:right w:val="none" w:sz="0" w:space="0" w:color="auto"/>
                              </w:divBdr>
                              <w:divsChild>
                                <w:div w:id="14892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768402">
      <w:bodyDiv w:val="1"/>
      <w:marLeft w:val="0"/>
      <w:marRight w:val="0"/>
      <w:marTop w:val="0"/>
      <w:marBottom w:val="0"/>
      <w:divBdr>
        <w:top w:val="none" w:sz="0" w:space="0" w:color="auto"/>
        <w:left w:val="none" w:sz="0" w:space="0" w:color="auto"/>
        <w:bottom w:val="none" w:sz="0" w:space="0" w:color="auto"/>
        <w:right w:val="none" w:sz="0" w:space="0" w:color="auto"/>
      </w:divBdr>
    </w:div>
    <w:div w:id="1172451593">
      <w:bodyDiv w:val="1"/>
      <w:marLeft w:val="0"/>
      <w:marRight w:val="0"/>
      <w:marTop w:val="0"/>
      <w:marBottom w:val="0"/>
      <w:divBdr>
        <w:top w:val="none" w:sz="0" w:space="0" w:color="auto"/>
        <w:left w:val="none" w:sz="0" w:space="0" w:color="auto"/>
        <w:bottom w:val="none" w:sz="0" w:space="0" w:color="auto"/>
        <w:right w:val="none" w:sz="0" w:space="0" w:color="auto"/>
      </w:divBdr>
      <w:divsChild>
        <w:div w:id="1518273511">
          <w:marLeft w:val="0"/>
          <w:marRight w:val="0"/>
          <w:marTop w:val="0"/>
          <w:marBottom w:val="0"/>
          <w:divBdr>
            <w:top w:val="none" w:sz="0" w:space="0" w:color="auto"/>
            <w:left w:val="none" w:sz="0" w:space="0" w:color="auto"/>
            <w:bottom w:val="none" w:sz="0" w:space="0" w:color="auto"/>
            <w:right w:val="none" w:sz="0" w:space="0" w:color="auto"/>
          </w:divBdr>
          <w:divsChild>
            <w:div w:id="1036851389">
              <w:marLeft w:val="150"/>
              <w:marRight w:val="0"/>
              <w:marTop w:val="0"/>
              <w:marBottom w:val="0"/>
              <w:divBdr>
                <w:top w:val="none" w:sz="0" w:space="0" w:color="auto"/>
                <w:left w:val="none" w:sz="0" w:space="0" w:color="auto"/>
                <w:bottom w:val="none" w:sz="0" w:space="0" w:color="auto"/>
                <w:right w:val="none" w:sz="0" w:space="0" w:color="auto"/>
              </w:divBdr>
              <w:divsChild>
                <w:div w:id="2113744394">
                  <w:marLeft w:val="0"/>
                  <w:marRight w:val="0"/>
                  <w:marTop w:val="0"/>
                  <w:marBottom w:val="0"/>
                  <w:divBdr>
                    <w:top w:val="none" w:sz="0" w:space="0" w:color="auto"/>
                    <w:left w:val="none" w:sz="0" w:space="0" w:color="auto"/>
                    <w:bottom w:val="none" w:sz="0" w:space="0" w:color="auto"/>
                    <w:right w:val="none" w:sz="0" w:space="0" w:color="auto"/>
                  </w:divBdr>
                  <w:divsChild>
                    <w:div w:id="582107344">
                      <w:marLeft w:val="0"/>
                      <w:marRight w:val="0"/>
                      <w:marTop w:val="0"/>
                      <w:marBottom w:val="0"/>
                      <w:divBdr>
                        <w:top w:val="none" w:sz="0" w:space="0" w:color="auto"/>
                        <w:left w:val="none" w:sz="0" w:space="0" w:color="auto"/>
                        <w:bottom w:val="none" w:sz="0" w:space="0" w:color="auto"/>
                        <w:right w:val="none" w:sz="0" w:space="0" w:color="auto"/>
                      </w:divBdr>
                      <w:divsChild>
                        <w:div w:id="1079714697">
                          <w:marLeft w:val="0"/>
                          <w:marRight w:val="0"/>
                          <w:marTop w:val="0"/>
                          <w:marBottom w:val="0"/>
                          <w:divBdr>
                            <w:top w:val="none" w:sz="0" w:space="0" w:color="auto"/>
                            <w:left w:val="none" w:sz="0" w:space="0" w:color="auto"/>
                            <w:bottom w:val="none" w:sz="0" w:space="0" w:color="auto"/>
                            <w:right w:val="none" w:sz="0" w:space="0" w:color="auto"/>
                          </w:divBdr>
                          <w:divsChild>
                            <w:div w:id="1860583754">
                              <w:marLeft w:val="0"/>
                              <w:marRight w:val="0"/>
                              <w:marTop w:val="0"/>
                              <w:marBottom w:val="0"/>
                              <w:divBdr>
                                <w:top w:val="none" w:sz="0" w:space="0" w:color="auto"/>
                                <w:left w:val="none" w:sz="0" w:space="0" w:color="auto"/>
                                <w:bottom w:val="none" w:sz="0" w:space="0" w:color="auto"/>
                                <w:right w:val="none" w:sz="0" w:space="0" w:color="auto"/>
                              </w:divBdr>
                              <w:divsChild>
                                <w:div w:id="19634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2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siac.cultura.gob.cl/" TargetMode="External"/><Relationship Id="rId5" Type="http://schemas.openxmlformats.org/officeDocument/2006/relationships/webSettings" Target="webSettings.xml"/><Relationship Id="rId10" Type="http://schemas.openxmlformats.org/officeDocument/2006/relationships/hyperlink" Target="http://www.cultura.gob.cl/siac" TargetMode="External"/><Relationship Id="rId4" Type="http://schemas.openxmlformats.org/officeDocument/2006/relationships/settings" Target="settings.xml"/><Relationship Id="rId9" Type="http://schemas.openxmlformats.org/officeDocument/2006/relationships/hyperlink" Target="http://www.consejodelacultura.cl/siac%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E0A4-9748-4CF8-B337-47B6AEDF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Saavedra Rojas</dc:creator>
  <cp:lastModifiedBy>Andrea Fernandez Gonzalez</cp:lastModifiedBy>
  <cp:revision>3</cp:revision>
  <cp:lastPrinted>2018-08-17T13:50:00Z</cp:lastPrinted>
  <dcterms:created xsi:type="dcterms:W3CDTF">2020-01-21T15:50:00Z</dcterms:created>
  <dcterms:modified xsi:type="dcterms:W3CDTF">2020-01-28T16:05:00Z</dcterms:modified>
</cp:coreProperties>
</file>