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C" w:rsidRDefault="007A2DB3" w:rsidP="00344DAC">
      <w:pPr>
        <w:tabs>
          <w:tab w:val="left" w:pos="1110"/>
        </w:tabs>
        <w:spacing w:line="240" w:lineRule="auto"/>
        <w:jc w:val="center"/>
        <w:rPr>
          <w:b/>
          <w:color w:val="0070C0"/>
        </w:rPr>
      </w:pPr>
      <w:r>
        <w:rPr>
          <w:b/>
          <w:color w:val="0070C0"/>
        </w:rPr>
        <w:t xml:space="preserve"> </w:t>
      </w:r>
    </w:p>
    <w:p w:rsidR="00344DAC" w:rsidRDefault="00344DAC" w:rsidP="00344DAC">
      <w:pPr>
        <w:tabs>
          <w:tab w:val="left" w:pos="1110"/>
        </w:tabs>
        <w:spacing w:line="240" w:lineRule="auto"/>
        <w:jc w:val="center"/>
        <w:rPr>
          <w:b/>
          <w:color w:val="0070C0"/>
        </w:rPr>
      </w:pPr>
    </w:p>
    <w:p w:rsidR="00344DAC" w:rsidRDefault="00344DAC" w:rsidP="00344DAC">
      <w:pPr>
        <w:tabs>
          <w:tab w:val="left" w:pos="1110"/>
        </w:tabs>
        <w:spacing w:line="240" w:lineRule="auto"/>
        <w:jc w:val="center"/>
        <w:rPr>
          <w:b/>
          <w:color w:val="0070C0"/>
        </w:rPr>
      </w:pPr>
    </w:p>
    <w:p w:rsidR="00344DAC" w:rsidRDefault="00344DAC" w:rsidP="00344DAC">
      <w:pPr>
        <w:tabs>
          <w:tab w:val="left" w:pos="1110"/>
        </w:tabs>
        <w:spacing w:line="240" w:lineRule="auto"/>
        <w:jc w:val="center"/>
        <w:rPr>
          <w:b/>
          <w:color w:val="0070C0"/>
        </w:rPr>
      </w:pPr>
    </w:p>
    <w:p w:rsidR="00344DAC" w:rsidRDefault="00344DAC" w:rsidP="00344DAC">
      <w:pPr>
        <w:tabs>
          <w:tab w:val="left" w:pos="1110"/>
        </w:tabs>
        <w:spacing w:line="240" w:lineRule="auto"/>
        <w:jc w:val="center"/>
        <w:rPr>
          <w:b/>
          <w:color w:val="0070C0"/>
        </w:rPr>
      </w:pPr>
    </w:p>
    <w:p w:rsidR="00344DAC" w:rsidRDefault="00344DAC" w:rsidP="00344DAC">
      <w:pPr>
        <w:tabs>
          <w:tab w:val="left" w:pos="1110"/>
        </w:tabs>
        <w:spacing w:line="240" w:lineRule="auto"/>
        <w:jc w:val="center"/>
        <w:rPr>
          <w:b/>
          <w:color w:val="0070C0"/>
        </w:rPr>
      </w:pPr>
    </w:p>
    <w:p w:rsidR="00344DAC" w:rsidRDefault="00344DAC" w:rsidP="00344DAC">
      <w:pPr>
        <w:tabs>
          <w:tab w:val="left" w:pos="1110"/>
        </w:tabs>
        <w:spacing w:line="240" w:lineRule="auto"/>
        <w:jc w:val="center"/>
        <w:rPr>
          <w:b/>
          <w:color w:val="0070C0"/>
        </w:rPr>
      </w:pPr>
    </w:p>
    <w:p w:rsidR="00344DAC" w:rsidRDefault="00344DAC" w:rsidP="00344DAC">
      <w:pPr>
        <w:tabs>
          <w:tab w:val="left" w:pos="1110"/>
        </w:tabs>
        <w:spacing w:line="240" w:lineRule="auto"/>
        <w:jc w:val="center"/>
        <w:rPr>
          <w:b/>
          <w:color w:val="0070C0"/>
        </w:rPr>
      </w:pPr>
    </w:p>
    <w:p w:rsidR="006A06ED" w:rsidRDefault="004F3171" w:rsidP="006A06ED">
      <w:pPr>
        <w:tabs>
          <w:tab w:val="left" w:pos="1110"/>
        </w:tabs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ORIENTACIONES</w:t>
      </w:r>
      <w:r w:rsidR="000F2D7B">
        <w:rPr>
          <w:b/>
          <w:color w:val="0070C0"/>
          <w:sz w:val="36"/>
          <w:szCs w:val="36"/>
        </w:rPr>
        <w:t xml:space="preserve"> Y FORMATO</w:t>
      </w:r>
      <w:r>
        <w:rPr>
          <w:b/>
          <w:color w:val="0070C0"/>
          <w:sz w:val="36"/>
          <w:szCs w:val="36"/>
        </w:rPr>
        <w:t xml:space="preserve"> DE TRABAJO</w:t>
      </w:r>
      <w:r w:rsidR="002E7898">
        <w:rPr>
          <w:b/>
          <w:color w:val="0070C0"/>
          <w:sz w:val="36"/>
          <w:szCs w:val="36"/>
        </w:rPr>
        <w:t xml:space="preserve"> PARA</w:t>
      </w:r>
      <w:r>
        <w:rPr>
          <w:b/>
          <w:color w:val="0070C0"/>
          <w:sz w:val="36"/>
          <w:szCs w:val="36"/>
        </w:rPr>
        <w:t xml:space="preserve"> ETAPA </w:t>
      </w:r>
      <w:r w:rsidR="00B45A77">
        <w:rPr>
          <w:b/>
          <w:color w:val="0070C0"/>
          <w:sz w:val="36"/>
          <w:szCs w:val="36"/>
        </w:rPr>
        <w:t>DE FORMULACIÓN DEL PLAN</w:t>
      </w:r>
      <w:r>
        <w:rPr>
          <w:b/>
          <w:color w:val="0070C0"/>
          <w:sz w:val="36"/>
          <w:szCs w:val="36"/>
        </w:rPr>
        <w:t xml:space="preserve"> DE </w:t>
      </w:r>
      <w:r w:rsidR="006A06ED">
        <w:rPr>
          <w:b/>
          <w:color w:val="0070C0"/>
          <w:sz w:val="36"/>
          <w:szCs w:val="36"/>
        </w:rPr>
        <w:t>GESTIÓN LLAMADO A PRES</w:t>
      </w:r>
      <w:r w:rsidR="000F2D7B">
        <w:rPr>
          <w:b/>
          <w:color w:val="0070C0"/>
          <w:sz w:val="36"/>
          <w:szCs w:val="36"/>
        </w:rPr>
        <w:t>E</w:t>
      </w:r>
      <w:r w:rsidR="006A06ED">
        <w:rPr>
          <w:b/>
          <w:color w:val="0070C0"/>
          <w:sz w:val="36"/>
          <w:szCs w:val="36"/>
        </w:rPr>
        <w:t xml:space="preserve">NTAR ANTECEDENTES AL CARGO: </w:t>
      </w:r>
    </w:p>
    <w:p w:rsidR="00344DAC" w:rsidRPr="001F6372" w:rsidRDefault="006A06ED" w:rsidP="006A06ED">
      <w:pPr>
        <w:tabs>
          <w:tab w:val="left" w:pos="1110"/>
        </w:tabs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DIRECTOR/A CENTRO NACIONAL DE ARTE CONTEMPORÁNEO CERRILLOS</w:t>
      </w:r>
    </w:p>
    <w:p w:rsidR="00344DAC" w:rsidRDefault="00344DAC" w:rsidP="00344DAC">
      <w:pPr>
        <w:tabs>
          <w:tab w:val="left" w:pos="1110"/>
        </w:tabs>
        <w:spacing w:line="240" w:lineRule="auto"/>
        <w:rPr>
          <w:b/>
          <w:color w:val="0070C0"/>
        </w:rPr>
      </w:pPr>
    </w:p>
    <w:p w:rsidR="00344DAC" w:rsidRDefault="00344DAC" w:rsidP="00344DAC">
      <w:pPr>
        <w:tabs>
          <w:tab w:val="left" w:pos="1110"/>
        </w:tabs>
        <w:spacing w:line="240" w:lineRule="auto"/>
        <w:jc w:val="center"/>
        <w:rPr>
          <w:b/>
          <w:color w:val="0070C0"/>
        </w:rPr>
      </w:pPr>
    </w:p>
    <w:p w:rsidR="00344DAC" w:rsidRDefault="00344DAC" w:rsidP="00344DAC">
      <w:pPr>
        <w:tabs>
          <w:tab w:val="left" w:pos="1110"/>
        </w:tabs>
        <w:spacing w:line="240" w:lineRule="auto"/>
        <w:jc w:val="center"/>
        <w:rPr>
          <w:b/>
          <w:color w:val="0070C0"/>
        </w:rPr>
      </w:pPr>
    </w:p>
    <w:p w:rsidR="00344DAC" w:rsidRPr="006A06ED" w:rsidRDefault="006A06ED" w:rsidP="00344DAC">
      <w:pPr>
        <w:tabs>
          <w:tab w:val="left" w:pos="1110"/>
        </w:tabs>
        <w:spacing w:line="240" w:lineRule="auto"/>
        <w:jc w:val="center"/>
        <w:rPr>
          <w:b/>
          <w:color w:val="0070C0"/>
          <w:sz w:val="28"/>
          <w:szCs w:val="28"/>
        </w:rPr>
      </w:pPr>
      <w:r w:rsidRPr="006A06ED">
        <w:rPr>
          <w:b/>
          <w:color w:val="0070C0"/>
          <w:sz w:val="28"/>
          <w:szCs w:val="28"/>
        </w:rPr>
        <w:t>2019</w:t>
      </w:r>
    </w:p>
    <w:p w:rsidR="001873D9" w:rsidRDefault="001873D9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1873D9" w:rsidRDefault="001873D9" w:rsidP="00961A6C">
      <w:pPr>
        <w:spacing w:after="0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92839" wp14:editId="6B18E8DF">
                <wp:simplePos x="0" y="0"/>
                <wp:positionH relativeFrom="column">
                  <wp:posOffset>-1270</wp:posOffset>
                </wp:positionH>
                <wp:positionV relativeFrom="paragraph">
                  <wp:posOffset>-126392</wp:posOffset>
                </wp:positionV>
                <wp:extent cx="6219825" cy="447675"/>
                <wp:effectExtent l="0" t="0" r="28575" b="28575"/>
                <wp:wrapNone/>
                <wp:docPr id="29711" name="297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47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DB3" w:rsidRPr="00F670EF" w:rsidRDefault="007A2DB3" w:rsidP="00F670E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F670E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I.LINEAMIENTOS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C92839" id="_x0000_t202" coordsize="21600,21600" o:spt="202" path="m,l,21600r21600,l21600,xe">
                <v:stroke joinstyle="miter"/>
                <v:path gradientshapeok="t" o:connecttype="rect"/>
              </v:shapetype>
              <v:shape id="29711 Cuadro de texto" o:spid="_x0000_s1026" type="#_x0000_t202" style="position:absolute;margin-left:-.1pt;margin-top:-9.95pt;width:489.75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" fillcolor="#0070c0" strokeweight=".5pt">
                <v:textbox>
                  <w:txbxContent>
                    <w:p w:rsidR="007A2DB3" w:rsidRPr="00F670EF" w:rsidRDefault="007A2DB3" w:rsidP="00F670EF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</w:pPr>
                      <w:r w:rsidRPr="00F670E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I.LINEAMIENTOS</w:t>
                      </w:r>
                    </w:p>
                  </w:txbxContent>
                </v:textbox>
              </v:shape>
            </w:pict>
          </mc:Fallback>
        </mc:AlternateContent>
      </w:r>
    </w:p>
    <w:p w:rsidR="001873D9" w:rsidRDefault="001873D9" w:rsidP="00961A6C">
      <w:pPr>
        <w:spacing w:after="0"/>
        <w:rPr>
          <w:b/>
          <w:color w:val="0070C0"/>
          <w:sz w:val="24"/>
          <w:szCs w:val="24"/>
        </w:rPr>
      </w:pPr>
    </w:p>
    <w:p w:rsidR="00961A6C" w:rsidRPr="00F675C5" w:rsidRDefault="00961A6C" w:rsidP="00961A6C">
      <w:pPr>
        <w:spacing w:after="0"/>
        <w:rPr>
          <w:b/>
          <w:color w:val="0070C0"/>
          <w:sz w:val="24"/>
          <w:szCs w:val="24"/>
        </w:rPr>
      </w:pPr>
      <w:r w:rsidRPr="00F675C5">
        <w:rPr>
          <w:b/>
          <w:color w:val="0070C0"/>
          <w:sz w:val="24"/>
          <w:szCs w:val="24"/>
        </w:rPr>
        <w:t xml:space="preserve">1.1 </w:t>
      </w:r>
      <w:r w:rsidR="00726D96">
        <w:rPr>
          <w:b/>
          <w:color w:val="0070C0"/>
          <w:sz w:val="24"/>
          <w:szCs w:val="24"/>
        </w:rPr>
        <w:t>Contexto</w:t>
      </w:r>
    </w:p>
    <w:p w:rsidR="00590C68" w:rsidRDefault="00590C68" w:rsidP="00E60E67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590C68" w:rsidRP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El Centro Nacional de Arte Contemporáneo de Cerrillos es una iniciativa del Ministerio de las Culturas, las Artes y el Patrimonio, inaugurado el año 2016.</w:t>
      </w:r>
    </w:p>
    <w:p w:rsidR="00590C68" w:rsidRP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Su misión es promover y estimular la creación, experimentación, reflexión y comprensión del arte contemporáneo chileno, en conexión con la escena latinoamericana e internacional, poniendo a disposición de la ciudadanía las herramientas para su conservación, investigación, educación y difusión.</w:t>
      </w:r>
    </w:p>
    <w:p w:rsid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Sus ámbitos de trabajo están orientados hacia </w:t>
      </w: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la investigación, resguardo, archivo, documentación, fomento y difusión del patrimonio artístico contemporáneo. Todo ello, en estrecha vinculación con la ciudadanía, posicionando al CNAC como un espacio cultural referente, en la articulación y transmisión de contenidos, así como agente clave en el debate y pensamiento crítico de las prácticas contemporáneas.</w:t>
      </w:r>
    </w:p>
    <w:p w:rsidR="00940EF6" w:rsidRDefault="00940EF6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590C68" w:rsidRP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Ubicado en el ex aeropuerto Cerrillos, el Centro a su vez busca ser un referente de recuperación de espacios arquitectónicos para uso cultural, el cual a través de la re-significación de una infraestructura hito en la Comuna de Cerrillos acoge al primer centro dedicado al arte contemporáneo en el país.</w:t>
      </w:r>
    </w:p>
    <w:p w:rsidR="003C1395" w:rsidRDefault="003C1395" w:rsidP="00E60E67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E60E67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De esta forma, en la conducción del CNAC, deberá contemplar la gestión de las colecciones Institucionales, de los públicos y la investigación en prácticas de arte contemporáneo, en concordancia con los lineamientos entregados en la</w:t>
      </w:r>
      <w:r w:rsidR="00940EF6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Política Nacional de Cultura, la</w:t>
      </w: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Política de Artes de la Visualidad y el Consejo de Artes de la Visualidad.</w:t>
      </w:r>
    </w:p>
    <w:p w:rsid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590C68" w:rsidRP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A</w:t>
      </w: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dministrativamente</w:t>
      </w: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el CNAC responde a</w:t>
      </w: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la Jefatura del Departamento de Fomento, </w:t>
      </w:r>
      <w:r w:rsidR="00940EF6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qu</w:t>
      </w: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e integra el equipo de Coordinadores/as de la Macro Área de Artes de la visualidad.</w:t>
      </w:r>
    </w:p>
    <w:p w:rsidR="00940EF6" w:rsidRDefault="00940EF6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590C68" w:rsidRP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Supervisa el trabajo de 9 personas, dos de las cuales dependen administrativamente de otros Departamentos, por lo cual, debe mantener una estrecha coordinación con sus contrapartes en dichos Departamentos.</w:t>
      </w:r>
    </w:p>
    <w:p w:rsidR="00940EF6" w:rsidRDefault="00940EF6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590C68" w:rsidRP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Administra un presupuesto programático anual de aproximadamente $320.000.000, sujeto a la disponibilidad presupuestaria anual del Servicio.</w:t>
      </w:r>
    </w:p>
    <w:p w:rsidR="00590C68" w:rsidRDefault="00590C68" w:rsidP="00590C6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590C68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Administra las colecciones y archivos actuales: Fondo GGM, Fondo Fondart; Archivo y documentación CEDOC.</w:t>
      </w:r>
    </w:p>
    <w:p w:rsidR="006514DE" w:rsidRDefault="006514DE" w:rsidP="006514DE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1.2</w:t>
      </w:r>
      <w:r w:rsidRPr="00F675C5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Conceptos</w:t>
      </w:r>
    </w:p>
    <w:p w:rsidR="00103B9F" w:rsidRDefault="00103B9F" w:rsidP="0010425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DB14CC" w:rsidRDefault="00B56081" w:rsidP="0010425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La formulación del plan estará </w:t>
      </w:r>
      <w:r w:rsidR="00C62530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basada</w:t>
      </w: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en conceptos rectores que guiarán a las o los postulantes para que puedan a partir de esta información, dotar a sus presentaciones de mayor contenido y visión respecto de </w:t>
      </w:r>
      <w:r w:rsidR="00C62530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las líneas de trabajo que proyectarán para el centro</w:t>
      </w:r>
      <w:r w:rsidR="00DB14CC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:</w:t>
      </w:r>
    </w:p>
    <w:p w:rsidR="00DB14CC" w:rsidRPr="003C1395" w:rsidRDefault="00DB14CC" w:rsidP="00104258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104258" w:rsidRPr="00103B9F" w:rsidRDefault="00B56081" w:rsidP="00B56081">
      <w:pPr>
        <w:pStyle w:val="Prrafodelista"/>
        <w:numPr>
          <w:ilvl w:val="0"/>
          <w:numId w:val="3"/>
        </w:numPr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Diagnóstico</w:t>
      </w:r>
      <w:r w:rsidR="00103B9F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 de situación y análisis de contexto: </w:t>
      </w:r>
      <w:r w:rsidR="00103B9F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Se entenderá como una visión o perspectiva que presentará la o el postulante, respecto del que hacer del sector de las artes de la visualidad, sus dinámicas, su ciclo cultural, su ámbito de acción nacional e internacional. </w:t>
      </w:r>
      <w:r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 </w:t>
      </w:r>
    </w:p>
    <w:p w:rsidR="00103B9F" w:rsidRPr="000A1293" w:rsidRDefault="00103B9F" w:rsidP="00103B9F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015822" w:rsidRDefault="00B56081" w:rsidP="005B6FA1">
      <w:pPr>
        <w:pStyle w:val="Prrafodelista"/>
        <w:numPr>
          <w:ilvl w:val="0"/>
          <w:numId w:val="3"/>
        </w:numPr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Plan de trabajo</w:t>
      </w:r>
      <w:r w:rsidR="00BF307F" w:rsidRPr="00E36E27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:</w:t>
      </w:r>
      <w:r w:rsidR="00BF307F" w:rsidRPr="00E36E27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</w:t>
      </w:r>
      <w:r w:rsidR="00103B9F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Se entenderá por plan de trabajo una propuesta que la o el postulante entregará respecto de la visión y misión del Centro Nacional de Arte Contemporáneo, sus distintas áreas y ámbitos de trabajo.  </w:t>
      </w:r>
    </w:p>
    <w:p w:rsidR="00E36E27" w:rsidRPr="00E36E27" w:rsidRDefault="00E36E27" w:rsidP="00E36E27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D205F0" w:rsidRDefault="00B56081" w:rsidP="005B6FA1">
      <w:pPr>
        <w:pStyle w:val="Prrafodelista"/>
        <w:numPr>
          <w:ilvl w:val="0"/>
          <w:numId w:val="3"/>
        </w:numPr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Visión Nacional del Centro de Arte Contemporáneo</w:t>
      </w:r>
      <w:r w:rsidR="00D205F0" w:rsidRPr="001873D9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:</w:t>
      </w:r>
      <w:r w:rsidR="00D205F0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</w:t>
      </w:r>
      <w:r w:rsidR="00103B9F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Se entenderá por Visión Nacional del Centro Nacional de Arte Contemporáneo, que la o el postulante pueda entregar una perspectiva fundamentada respecto del rol y proyección que este espacio tiene para el sector de las artes de la visualidad, los públicos y la ciudadanía.</w:t>
      </w:r>
    </w:p>
    <w:p w:rsidR="00E36E27" w:rsidRPr="00103B9F" w:rsidRDefault="00E36E27" w:rsidP="00E36E27">
      <w:pPr>
        <w:pStyle w:val="Prrafodelista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</w:p>
    <w:p w:rsidR="00103B9F" w:rsidRDefault="00B56081" w:rsidP="00103B9F">
      <w:pPr>
        <w:pStyle w:val="Prrafodelista"/>
        <w:numPr>
          <w:ilvl w:val="0"/>
          <w:numId w:val="3"/>
        </w:numPr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103B9F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Institucionalidad y función pública</w:t>
      </w:r>
      <w:r w:rsidR="0098407D" w:rsidRPr="005D0065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:</w:t>
      </w:r>
      <w:r w:rsidR="0098407D" w:rsidRPr="005D0065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</w:t>
      </w:r>
      <w:r w:rsidR="00103B9F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Se entenderá por Institucionalidad y función pública el enfoque que la o el postulante pueda entregar respecto de la misión y visión del Ministerio de las Culturas, las Artes y el Patrimonio, y como el Centro Nacional de Arte Contemporáneo que forma parte de esta institución juega un rol en dicha institucionalidad en relación a su función pública como espacio cultural.  </w:t>
      </w:r>
    </w:p>
    <w:p w:rsidR="00103B9F" w:rsidRPr="00103B9F" w:rsidRDefault="00103B9F" w:rsidP="00103B9F">
      <w:pPr>
        <w:pStyle w:val="Prrafodelista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103B9F" w:rsidRPr="00544F58" w:rsidRDefault="00103B9F" w:rsidP="00103B9F">
      <w:pPr>
        <w:pStyle w:val="Prrafodelista"/>
        <w:numPr>
          <w:ilvl w:val="0"/>
          <w:numId w:val="3"/>
        </w:numPr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  <w:r w:rsidRPr="00544F58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Articulación </w:t>
      </w:r>
      <w:r w:rsidR="00544F58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Institucional e</w:t>
      </w:r>
      <w:r w:rsidRPr="00544F58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 intersectorial</w:t>
      </w:r>
      <w:r w:rsidR="00544F58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: </w:t>
      </w:r>
      <w:r w:rsidR="005D4946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Se entenderá por Articulación Institucional e intersectorial, la estrategia que la o el postulante tenga respecto del rol, complementariedad y especificidad que juega el Centro Nacional de Arte Contemporáneo con los distintos espacios culturales  (Centros Culturales Públicos, Espacios Culturales Privados, Red de Museos Públicos y Privados, Centros de Creación, Galería Gabriela Mistral y Centro de Extensión de las Artes) </w:t>
      </w:r>
    </w:p>
    <w:p w:rsidR="00103B9F" w:rsidRPr="00103B9F" w:rsidRDefault="00103B9F" w:rsidP="00103B9F">
      <w:pPr>
        <w:pStyle w:val="Prrafodelista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</w:p>
    <w:p w:rsidR="00103B9F" w:rsidRDefault="00103B9F" w:rsidP="00103B9F">
      <w:pPr>
        <w:pStyle w:val="Prrafodelista"/>
        <w:numPr>
          <w:ilvl w:val="0"/>
          <w:numId w:val="3"/>
        </w:numPr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103B9F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Pol</w:t>
      </w:r>
      <w:r w:rsidR="005D4946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ítica Nacional de </w:t>
      </w:r>
      <w:r w:rsidR="00F6087E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Cultura</w:t>
      </w:r>
      <w:r w:rsidRPr="00103B9F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 y </w:t>
      </w:r>
      <w:r w:rsidR="005D4946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Política Nacional de Artes de la Visualidad: </w:t>
      </w:r>
      <w:r w:rsidR="005D4946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Se entenderá por </w:t>
      </w:r>
      <w:r w:rsidR="00F6087E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Política Nacional de Cultura</w:t>
      </w:r>
      <w:r w:rsidR="005D4946" w:rsidRPr="005D4946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y Política Nacional de Artes de la </w:t>
      </w:r>
      <w:r w:rsidR="005D4946" w:rsidRPr="005D4946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lastRenderedPageBreak/>
        <w:t>Visualidad</w:t>
      </w:r>
      <w:r w:rsidR="005D4946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, los dos documentos emanados por la institucional que son cruciales para la labor y estrategia de acción en el ámbito de la Cultura y las Artes de la Visualidad, la o el postulante tendrá que integrar estos documentos en cuanto a la articulación estratégica de ellos y como el Centro Nacional de Arte Contemporáneo </w:t>
      </w:r>
      <w:r w:rsidR="009C2115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juega un rol en el cumplimiento de ambas políticas. </w:t>
      </w:r>
    </w:p>
    <w:p w:rsidR="00027AEB" w:rsidRPr="00027AEB" w:rsidRDefault="00027AEB" w:rsidP="00027AEB">
      <w:pPr>
        <w:pStyle w:val="Prrafodelista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6E71ED" w:rsidRPr="006E71ED" w:rsidRDefault="00027AEB" w:rsidP="00027A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  <w:r w:rsidRPr="00027AEB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Lineamientos de programación y contenidos</w:t>
      </w:r>
      <w:r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: </w:t>
      </w: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Se entenderá por Lineamientos de programación</w:t>
      </w:r>
      <w:r w:rsidR="006E71ED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, la presentación por parte de la o el postulante de un enfoque estratégico respecto de la programación de contenidos, sus énfasis, sellos específicos, períodos o ciclos expositivos, actividades de extensión etc. (No se solicita una propuesta de exposiciones específicas, sino más bien una estrategia de programación)</w:t>
      </w:r>
    </w:p>
    <w:p w:rsidR="00027AEB" w:rsidRPr="006E71ED" w:rsidRDefault="00027AEB" w:rsidP="006E71ED">
      <w:pPr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</w:p>
    <w:p w:rsidR="00027AEB" w:rsidRDefault="00027AEB" w:rsidP="00027A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  <w:r w:rsidRPr="006E71ED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Estrategia de comunicaciones</w:t>
      </w:r>
      <w:r w:rsidR="006E71ED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: </w:t>
      </w:r>
      <w:r w:rsidR="006E71ED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Se entenderá por Estrategia de comunicaciones, la presentación por parte de la o el postulante de lineamientos específicos en el ámbito de las comunicaciones que busquen posicionar al Centro Nacional de Arte Contemporáneo en el contexto nacional e internacional (tomando en cuenta su dependencia institucional)</w:t>
      </w:r>
    </w:p>
    <w:p w:rsidR="006E71ED" w:rsidRPr="006E71ED" w:rsidRDefault="006E71ED" w:rsidP="006E71ED">
      <w:pPr>
        <w:pStyle w:val="Prrafodelista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</w:p>
    <w:p w:rsidR="00027AEB" w:rsidRPr="00B72C79" w:rsidRDefault="00F6087E" w:rsidP="00027A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Presupuesto y propuesta de </w:t>
      </w:r>
      <w:r w:rsidR="00027AEB" w:rsidRPr="006E71ED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flujo anual</w:t>
      </w:r>
      <w:r w:rsidR="006E71ED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: </w:t>
      </w:r>
      <w:r w:rsidR="006E71ED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Se entenderá por Presupuest</w:t>
      </w: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o</w:t>
      </w:r>
      <w:r w:rsidR="006E71ED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y propuesta de flujo anual, la presentación por parte de la o el postulante de una propuesta respecto de cómo diseñar el presupuesto anual de programación del Centro Nacional de Arte Contemporáneo</w:t>
      </w:r>
      <w:r w:rsidR="00B72C79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(no se solicita un detalle de montos específicos para actividades, sino más bien diseñar una estrategia presupuestaria para cada área del CNAC)</w:t>
      </w:r>
    </w:p>
    <w:p w:rsidR="00B72C79" w:rsidRPr="00B72C79" w:rsidRDefault="00B72C79" w:rsidP="00B72C79">
      <w:pPr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</w:p>
    <w:p w:rsidR="00027AEB" w:rsidRPr="00B72C79" w:rsidRDefault="00027AEB" w:rsidP="00027A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  <w:r w:rsidRPr="00B72C79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Política de públicos y audiencias/ Perspectivas en torno a la mediación artística</w:t>
      </w:r>
      <w:r w:rsidR="00B72C79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: </w:t>
      </w:r>
      <w:r w:rsidR="00B72C79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Se entenderá por </w:t>
      </w:r>
      <w:r w:rsidR="00B72C79" w:rsidRPr="00B72C79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Política de públicos y audiencias/ Perspectivas en torno a la mediación artística</w:t>
      </w:r>
      <w:r w:rsidR="00B72C79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, la estrategia que la o el postulante presente refiriéndose al rol de los públicos, audiencias y a la mediación artística que desarrollará el CNAC, se contempla estrategia de instrumentos de medición para estos fines y una visión </w:t>
      </w:r>
    </w:p>
    <w:p w:rsidR="00B72C79" w:rsidRPr="00B72C79" w:rsidRDefault="00B72C79" w:rsidP="00B72C79">
      <w:pPr>
        <w:pStyle w:val="Prrafodelista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</w:p>
    <w:p w:rsidR="00B72C79" w:rsidRPr="00B72C79" w:rsidRDefault="00027AEB" w:rsidP="00B72C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  <w:r w:rsidRPr="00B72C79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Administración de la infraestructura y gestión de la misma</w:t>
      </w:r>
      <w:r w:rsidR="00B72C79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: </w:t>
      </w:r>
      <w:r w:rsidR="00B72C79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Se entenderá por </w:t>
      </w:r>
      <w:r w:rsidR="00B72C79" w:rsidRPr="00B72C79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Administración de la infraestructura y gestión de la misma</w:t>
      </w:r>
      <w:r w:rsidR="00B72C79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, la presentación por parte de la o el postulante </w:t>
      </w:r>
      <w:r w:rsidR="00030974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de una estrategia de que proyecte a la infraestructura del Centro Nacional de Arte Contemporáneo en su emplazamiento y como se puede potenciar su uso, conexión con el parque, el uso de la explanada anterior y el jardín posterior, así como de los espacios aledaños.</w:t>
      </w:r>
    </w:p>
    <w:p w:rsidR="00027AEB" w:rsidRPr="00B72C79" w:rsidRDefault="00027AEB" w:rsidP="00030974">
      <w:pPr>
        <w:pStyle w:val="Prrafodelista"/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</w:p>
    <w:p w:rsidR="00027AEB" w:rsidRPr="00030974" w:rsidRDefault="00027AEB" w:rsidP="00027A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  <w:r w:rsidRPr="00030974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lastRenderedPageBreak/>
        <w:t>Estrategia de vinculación con el medio nacional e internacional</w:t>
      </w:r>
      <w:r w:rsidR="00E11D91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: </w:t>
      </w:r>
      <w:r w:rsidR="00E11D91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Se entenderá por Estrategia de vinculación con el medio nacional e internacional, el enfoque por parte de la o el postulante respecto de cómo el Centro Nacional de Arte Contemporáneo dialoga con la escena de artes de la visualidad nacional y cómo se proyecta su diálogo y generación de redes de carácter internacional.</w:t>
      </w:r>
    </w:p>
    <w:p w:rsidR="00027AEB" w:rsidRPr="00103B9F" w:rsidRDefault="00027AEB" w:rsidP="00030974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103B9F" w:rsidRDefault="00103B9F" w:rsidP="00103B9F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E36E27" w:rsidRPr="00E36E27" w:rsidRDefault="00E36E27" w:rsidP="00E36E27">
      <w:pPr>
        <w:pStyle w:val="Prrafodelista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103B9F" w:rsidRPr="00103B9F" w:rsidRDefault="00103B9F" w:rsidP="00103B9F">
      <w:pPr>
        <w:pStyle w:val="Prrafodelista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AA187F" w:rsidRDefault="00AA187F" w:rsidP="0060142F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AA187F" w:rsidRDefault="00AA187F" w:rsidP="0060142F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AA187F" w:rsidRDefault="00AA187F" w:rsidP="0060142F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B75A16" w:rsidRDefault="00B75A16" w:rsidP="0060142F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AA187F" w:rsidRDefault="00DB14CC" w:rsidP="00AA187F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D205F0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br w:type="page"/>
      </w:r>
    </w:p>
    <w:p w:rsidR="00AA187F" w:rsidRDefault="00AA187F" w:rsidP="00AA187F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b/>
          <w:noProof/>
          <w:color w:val="0070C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A4E89D" wp14:editId="527CC3B3">
                <wp:simplePos x="0" y="0"/>
                <wp:positionH relativeFrom="column">
                  <wp:posOffset>1905</wp:posOffset>
                </wp:positionH>
                <wp:positionV relativeFrom="paragraph">
                  <wp:posOffset>-5876</wp:posOffset>
                </wp:positionV>
                <wp:extent cx="6219825" cy="44767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47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2DB3" w:rsidRPr="00F670EF" w:rsidRDefault="007A2DB3" w:rsidP="00B75A1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F670E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I</w:t>
                            </w:r>
                            <w:r w:rsidRPr="00F670E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 xml:space="preserve"> PROCEDIMIENTO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A4E89D" id="3 Cuadro de texto" o:spid="_x0000_s1027" type="#_x0000_t202" style="position:absolute;left:0;text-align:left;margin-left:.15pt;margin-top:-.45pt;width:489.75pt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" fillcolor="#0070c0" strokeweight=".5pt">
                <v:textbox>
                  <w:txbxContent>
                    <w:p w:rsidR="007A2DB3" w:rsidRPr="00F670EF" w:rsidRDefault="007A2DB3" w:rsidP="00B75A1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</w:pPr>
                      <w:r w:rsidRPr="00F670E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I</w:t>
                      </w:r>
                      <w:r w:rsidRPr="00F670E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 xml:space="preserve">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A187F" w:rsidRDefault="00AA187F" w:rsidP="00AA187F">
      <w:pPr>
        <w:pStyle w:val="Prrafodelista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175474" w:rsidRPr="00175474" w:rsidRDefault="00B72C79" w:rsidP="005D0065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La o el</w:t>
      </w:r>
      <w:r w:rsidR="00175474" w:rsidRPr="00175474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postulante tendrá la oportunidad de exponer ante una comisión de selección, siempre y cuando haya cumplido de manera satisfactoria las etapas anteriores de la presente convocatoria.</w:t>
      </w:r>
    </w:p>
    <w:p w:rsidR="00175474" w:rsidRPr="00175474" w:rsidRDefault="00175474" w:rsidP="005D0065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175474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Se le solicitará a los o las postulantes presentar un Plan de Gestión acompañado de una presentación en PPT (m</w:t>
      </w:r>
      <w:r w:rsidR="00030974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áximo 20</w:t>
      </w:r>
      <w:r w:rsidRPr="00175474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láminas) para ser expuesto por un máximo de 20 minutos ante la comisión. La presentación debe ser enviada con anterioridad a la entrevista.</w:t>
      </w:r>
    </w:p>
    <w:p w:rsidR="00175474" w:rsidRPr="00175474" w:rsidRDefault="00175474" w:rsidP="005D0065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175474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Los ámbitos que deben estar incluidos en dicha presentación son: </w:t>
      </w:r>
    </w:p>
    <w:p w:rsidR="00175474" w:rsidRDefault="00175474" w:rsidP="005D0065">
      <w:p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highlight w:val="yellow"/>
          <w:lang w:val="es-CL" w:eastAsia="es-ES"/>
        </w:rPr>
      </w:pPr>
    </w:p>
    <w:p w:rsidR="0010628B" w:rsidRPr="0010628B" w:rsidRDefault="00964430" w:rsidP="005B6F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  <w:r w:rsidRPr="0010628B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Diagnóstico de la si</w:t>
      </w:r>
      <w:r w:rsidR="0010628B" w:rsidRPr="0010628B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tuación y análisis del contexto</w:t>
      </w:r>
      <w:r w:rsidR="00920157" w:rsidRPr="0010628B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 </w:t>
      </w:r>
    </w:p>
    <w:p w:rsidR="00175474" w:rsidRDefault="00B72C79" w:rsidP="0010628B">
      <w:pPr>
        <w:pStyle w:val="Prrafodelista"/>
        <w:spacing w:after="0" w:line="240" w:lineRule="auto"/>
        <w:jc w:val="both"/>
      </w:pP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La o el</w:t>
      </w:r>
      <w:r w:rsidR="00A94DBE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postulante deberá entregar una visión respecto del diagnóstico y estado de situación de las artes de la visualidad, basado en la</w:t>
      </w:r>
      <w:r w:rsidR="00AA0A61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nueva institucionalidad cultural del Ministerio de las Culturas, las Artes y el Patrimonio, la </w:t>
      </w:r>
      <w:r w:rsidR="00A94DBE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Política Nacional de Artes de la Visualidad, la Política Nacional de Cultura y el trabajo que ha realizado el CNAC </w:t>
      </w:r>
      <w:r w:rsidR="00175474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desde su creación en septiembre de 2016</w:t>
      </w:r>
      <w:r w:rsidR="00920157" w:rsidRPr="0010628B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.</w:t>
      </w:r>
      <w:r w:rsidR="00920157" w:rsidRPr="0010628B">
        <w:t xml:space="preserve"> </w:t>
      </w:r>
    </w:p>
    <w:p w:rsidR="00AA0A61" w:rsidRDefault="00AA0A61" w:rsidP="0010628B">
      <w:pPr>
        <w:pStyle w:val="Prrafodelista"/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Links de interés: </w:t>
      </w:r>
    </w:p>
    <w:p w:rsidR="00AA0A61" w:rsidRDefault="004A43B8" w:rsidP="0010628B">
      <w:pPr>
        <w:pStyle w:val="Prrafodelista"/>
        <w:spacing w:after="0" w:line="240" w:lineRule="auto"/>
        <w:jc w:val="both"/>
      </w:pPr>
      <w:hyperlink r:id="rId8" w:history="1">
        <w:r w:rsidR="00AA0A61">
          <w:rPr>
            <w:rStyle w:val="Hipervnculo"/>
          </w:rPr>
          <w:t>https://www.cultura.gob.cl/ministerio/</w:t>
        </w:r>
      </w:hyperlink>
      <w:r w:rsidR="00AA0A61">
        <w:t xml:space="preserve"> </w:t>
      </w:r>
    </w:p>
    <w:p w:rsidR="00AA0A61" w:rsidRDefault="004A43B8" w:rsidP="0010628B">
      <w:pPr>
        <w:pStyle w:val="Prrafodelista"/>
        <w:spacing w:after="0" w:line="240" w:lineRule="auto"/>
        <w:jc w:val="both"/>
      </w:pPr>
      <w:hyperlink r:id="rId9" w:history="1">
        <w:r w:rsidR="00AA0A61">
          <w:rPr>
            <w:rStyle w:val="Hipervnculo"/>
          </w:rPr>
          <w:t>https://www.cultura.gob.cl/politicas-culturales/</w:t>
        </w:r>
      </w:hyperlink>
      <w:r w:rsidR="00AA0A61">
        <w:t xml:space="preserve"> </w:t>
      </w:r>
    </w:p>
    <w:p w:rsidR="00AA0A61" w:rsidRDefault="004A43B8" w:rsidP="0010628B">
      <w:pPr>
        <w:pStyle w:val="Prrafodelista"/>
        <w:spacing w:after="0" w:line="240" w:lineRule="auto"/>
        <w:jc w:val="both"/>
      </w:pPr>
      <w:hyperlink r:id="rId10" w:history="1">
        <w:r w:rsidR="00AA0A61">
          <w:rPr>
            <w:rStyle w:val="Hipervnculo"/>
          </w:rPr>
          <w:t>https://www.cultura.gob.cl/politicas-culturales/artes-de-la-visualidad/</w:t>
        </w:r>
      </w:hyperlink>
    </w:p>
    <w:p w:rsidR="00AA0A61" w:rsidRPr="0010628B" w:rsidRDefault="004A43B8" w:rsidP="0010628B">
      <w:pPr>
        <w:pStyle w:val="Prrafodelista"/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hyperlink r:id="rId11" w:history="1">
        <w:r w:rsidR="00AA0A61">
          <w:rPr>
            <w:rStyle w:val="Hipervnculo"/>
          </w:rPr>
          <w:t>http://centronacionaldearte.cl/</w:t>
        </w:r>
      </w:hyperlink>
      <w:r w:rsidR="00AA0A61">
        <w:t xml:space="preserve"> </w:t>
      </w:r>
    </w:p>
    <w:p w:rsidR="00920157" w:rsidRDefault="00920157" w:rsidP="00920157">
      <w:pPr>
        <w:pStyle w:val="Prrafodelista"/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10628B" w:rsidRPr="00A94DBE" w:rsidRDefault="00920157" w:rsidP="005B6F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  <w:r w:rsidRPr="00A94DBE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F</w:t>
      </w:r>
      <w:r w:rsidR="00A94DBE" w:rsidRPr="00A94DBE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ormulación de</w:t>
      </w:r>
      <w:r w:rsidR="003849AE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 </w:t>
      </w:r>
      <w:r w:rsidR="00A94DBE" w:rsidRPr="00A94DBE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plan de trabajo</w:t>
      </w:r>
      <w:r w:rsidR="00175474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 / áreas estratégicas de desarrollo</w:t>
      </w:r>
      <w:r w:rsidRPr="00A94DBE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 </w:t>
      </w:r>
    </w:p>
    <w:p w:rsidR="00EC3EC6" w:rsidRDefault="00175474" w:rsidP="0010628B">
      <w:pPr>
        <w:pStyle w:val="Prrafodelista"/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El o la postulante </w:t>
      </w:r>
      <w:r w:rsidR="00CF5D0F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deberán</w:t>
      </w: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integrar como temáticas a desarrollar en la fase de entrevista y en el PPT de apoyo los siguientes ámbitos</w:t>
      </w:r>
      <w:r w:rsidR="00EC3EC6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, que tendrán que conjugarse con los conc</w:t>
      </w:r>
      <w:r w:rsidR="00027AEB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eptos presentados anteriormente en el punto 1.2</w:t>
      </w:r>
    </w:p>
    <w:p w:rsidR="00964430" w:rsidRPr="0010628B" w:rsidRDefault="00175474" w:rsidP="0010628B">
      <w:pPr>
        <w:pStyle w:val="Prrafodelista"/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 </w:t>
      </w:r>
    </w:p>
    <w:p w:rsidR="00027AEB" w:rsidRPr="00027AEB" w:rsidRDefault="00027AEB" w:rsidP="005B6F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027AEB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Visión Nacional del Centro de Arte Contemporáneo</w:t>
      </w:r>
    </w:p>
    <w:p w:rsidR="00027AEB" w:rsidRPr="00027AEB" w:rsidRDefault="00027AEB" w:rsidP="005B6F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027AEB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Articulación Institucional e intersectorial</w:t>
      </w:r>
    </w:p>
    <w:p w:rsidR="00920157" w:rsidRPr="00A94DBE" w:rsidRDefault="00027AEB" w:rsidP="005B6F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Lineamientos</w:t>
      </w:r>
      <w:r w:rsidR="00920157" w:rsidRPr="00A94DBE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de programación y contenidos</w:t>
      </w:r>
    </w:p>
    <w:p w:rsidR="00920157" w:rsidRPr="00A94DBE" w:rsidRDefault="00027AEB" w:rsidP="005B6F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Estrategia</w:t>
      </w:r>
      <w:r w:rsidR="00920157" w:rsidRPr="00A94DBE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 xml:space="preserve"> de comunicaciones</w:t>
      </w:r>
    </w:p>
    <w:p w:rsidR="00920157" w:rsidRPr="00A94DBE" w:rsidRDefault="00920157" w:rsidP="005B6F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A94DBE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Presupuesto y propuesta de  flujo anual</w:t>
      </w:r>
    </w:p>
    <w:p w:rsidR="00920157" w:rsidRPr="00A94DBE" w:rsidRDefault="00920157" w:rsidP="005B6F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A94DBE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Política de públicos y audiencias/ Perspectivas en torno a la mediación artística</w:t>
      </w:r>
    </w:p>
    <w:p w:rsidR="00A94DBE" w:rsidRDefault="00920157" w:rsidP="005B6F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A94DBE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Administración de la infraestructura y gestión de la misma</w:t>
      </w:r>
    </w:p>
    <w:p w:rsidR="00920157" w:rsidRDefault="00920157" w:rsidP="005B6FA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  <w:r w:rsidRPr="00A94DBE"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  <w:t>Estrategia de vinculación con el medio nacional e internacional</w:t>
      </w:r>
    </w:p>
    <w:p w:rsidR="002D06F9" w:rsidRDefault="002D06F9" w:rsidP="002D06F9">
      <w:pPr>
        <w:spacing w:after="0" w:line="240" w:lineRule="auto"/>
        <w:ind w:left="360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E11D91" w:rsidRPr="002D06F9" w:rsidRDefault="005E4224" w:rsidP="002D06F9">
      <w:pPr>
        <w:spacing w:after="0" w:line="240" w:lineRule="auto"/>
        <w:ind w:left="360"/>
        <w:jc w:val="both"/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</w:pPr>
      <w:r w:rsidRPr="002D06F9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La Formulación de este plan deberá considerar </w:t>
      </w:r>
      <w:r w:rsidR="002D06F9" w:rsidRPr="002D06F9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>el establecimiento</w:t>
      </w:r>
      <w:r w:rsidRPr="002D06F9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 de objetivos de, una propuesta de indicadores</w:t>
      </w:r>
      <w:r w:rsidR="002D06F9" w:rsidRPr="002D06F9">
        <w:rPr>
          <w:rFonts w:asciiTheme="minorHAnsi" w:eastAsia="Arial" w:hAnsiTheme="minorHAnsi"/>
          <w:b/>
          <w:color w:val="000000"/>
          <w:sz w:val="24"/>
          <w:szCs w:val="24"/>
          <w:lang w:val="es-CL" w:eastAsia="es-ES"/>
        </w:rPr>
        <w:t xml:space="preserve"> y metas asociadas a la gestión del CNAC</w:t>
      </w:r>
    </w:p>
    <w:p w:rsidR="00B72C79" w:rsidRDefault="00B72C79" w:rsidP="00B72C79">
      <w:pPr>
        <w:pStyle w:val="Prrafodelista"/>
        <w:spacing w:after="0" w:line="240" w:lineRule="auto"/>
        <w:ind w:left="1065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E11D91" w:rsidRPr="00A94DBE" w:rsidRDefault="00E11D91" w:rsidP="00B72C79">
      <w:pPr>
        <w:pStyle w:val="Prrafodelista"/>
        <w:spacing w:after="0" w:line="240" w:lineRule="auto"/>
        <w:ind w:left="1065"/>
        <w:jc w:val="both"/>
        <w:rPr>
          <w:rFonts w:asciiTheme="minorHAnsi" w:eastAsia="Arial" w:hAnsiTheme="minorHAnsi"/>
          <w:color w:val="000000"/>
          <w:sz w:val="24"/>
          <w:szCs w:val="24"/>
          <w:lang w:val="es-CL" w:eastAsia="es-ES"/>
        </w:rPr>
      </w:pPr>
    </w:p>
    <w:p w:rsidR="00F670EF" w:rsidRDefault="00F670EF" w:rsidP="00961A6C">
      <w:pPr>
        <w:spacing w:after="0"/>
        <w:rPr>
          <w:b/>
          <w:color w:val="0070C0"/>
          <w:sz w:val="28"/>
          <w:szCs w:val="28"/>
        </w:rPr>
      </w:pPr>
      <w:r w:rsidRPr="00F670EF">
        <w:rPr>
          <w:b/>
          <w:noProof/>
          <w:color w:val="0070C0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68C5D" wp14:editId="1133AEC5">
                <wp:simplePos x="0" y="0"/>
                <wp:positionH relativeFrom="column">
                  <wp:posOffset>-82022</wp:posOffset>
                </wp:positionH>
                <wp:positionV relativeFrom="paragraph">
                  <wp:posOffset>-39012</wp:posOffset>
                </wp:positionV>
                <wp:extent cx="6309977" cy="447675"/>
                <wp:effectExtent l="0" t="0" r="15240" b="28575"/>
                <wp:wrapNone/>
                <wp:docPr id="29713" name="297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977" cy="447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2DB3" w:rsidRPr="00F670EF" w:rsidRDefault="007A2DB3" w:rsidP="00F670E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F670E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II. FORMATO PARA LA PRESENTACIÓN DEL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B68C5D" id="29713 Cuadro de texto" o:spid="_x0000_s1028" type="#_x0000_t202" style="position:absolute;margin-left:-6.45pt;margin-top:-3.05pt;width:496.85pt;height:35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" fillcolor="#0070c0" strokeweight=".5pt">
                <v:textbox>
                  <w:txbxContent>
                    <w:p w:rsidR="007A2DB3" w:rsidRPr="00F670EF" w:rsidRDefault="007A2DB3" w:rsidP="00F670EF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</w:pPr>
                      <w:r w:rsidRPr="00F670EF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I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II. FORMATO PARA LA PRESENTACIÓN DEL PLAN</w:t>
                      </w:r>
                    </w:p>
                  </w:txbxContent>
                </v:textbox>
              </v:shape>
            </w:pict>
          </mc:Fallback>
        </mc:AlternateContent>
      </w:r>
    </w:p>
    <w:p w:rsidR="00F670EF" w:rsidRDefault="00F670EF"/>
    <w:p w:rsidR="00F670EF" w:rsidRDefault="00F670EF">
      <w:pPr>
        <w:rPr>
          <w:b/>
          <w:color w:val="0070C0"/>
        </w:rPr>
      </w:pPr>
      <w:r w:rsidRPr="00F670EF">
        <w:rPr>
          <w:b/>
          <w:noProof/>
          <w:color w:val="0070C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75FCB" wp14:editId="7C72F637">
                <wp:simplePos x="0" y="0"/>
                <wp:positionH relativeFrom="column">
                  <wp:posOffset>-82022</wp:posOffset>
                </wp:positionH>
                <wp:positionV relativeFrom="paragraph">
                  <wp:posOffset>-96967</wp:posOffset>
                </wp:positionV>
                <wp:extent cx="6309977" cy="828675"/>
                <wp:effectExtent l="0" t="0" r="15240" b="28575"/>
                <wp:wrapNone/>
                <wp:docPr id="29714" name="297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977" cy="828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2DB3" w:rsidRPr="00883B5B" w:rsidRDefault="007A2DB3" w:rsidP="00964430">
                            <w:pPr>
                              <w:tabs>
                                <w:tab w:val="left" w:pos="1110"/>
                              </w:tabs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Toc257812265"/>
                            <w:r w:rsidRPr="00883B5B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FFFF"/>
                                <w:kern w:val="32"/>
                                <w:sz w:val="32"/>
                                <w:szCs w:val="32"/>
                                <w:lang w:eastAsia="es-ES"/>
                              </w:rPr>
                              <w:t xml:space="preserve">Título: </w:t>
                            </w:r>
                            <w:bookmarkEnd w:id="0"/>
                            <w:r w:rsidR="0096443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Plan de G</w:t>
                            </w:r>
                            <w:r w:rsidR="00964430" w:rsidRPr="0096443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estión llamado a pres</w:t>
                            </w:r>
                            <w:r w:rsidR="0096443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964430" w:rsidRPr="0096443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ntar antecedentes al cargo: Director/a Centro Nacional De Arte Contemporáneo Cerrillos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875FCB" id="29714 Cuadro de texto" o:spid="_x0000_s1029" type="#_x0000_t202" style="position:absolute;margin-left:-6.45pt;margin-top:-7.65pt;width:496.8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" fillcolor="#0070c0" strokeweight=".5pt">
                <v:textbox>
                  <w:txbxContent>
                    <w:p w:rsidR="007A2DB3" w:rsidRPr="00883B5B" w:rsidRDefault="007A2DB3" w:rsidP="00964430">
                      <w:pPr>
                        <w:tabs>
                          <w:tab w:val="left" w:pos="1110"/>
                        </w:tabs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Toc257812265"/>
                      <w:r w:rsidRPr="00883B5B">
                        <w:rPr>
                          <w:rFonts w:ascii="Arial Narrow" w:eastAsia="Times New Roman" w:hAnsi="Arial Narrow" w:cs="Arial"/>
                          <w:b/>
                          <w:bCs/>
                          <w:color w:val="FFFFFF"/>
                          <w:kern w:val="32"/>
                          <w:sz w:val="32"/>
                          <w:szCs w:val="32"/>
                          <w:lang w:eastAsia="es-ES"/>
                        </w:rPr>
                        <w:t xml:space="preserve">Título: </w:t>
                      </w:r>
                      <w:bookmarkEnd w:id="1"/>
                      <w:r w:rsidR="00964430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Plan de G</w:t>
                      </w:r>
                      <w:r w:rsidR="00964430" w:rsidRPr="00964430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estión llamado a pres</w:t>
                      </w:r>
                      <w:r w:rsidR="00964430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964430" w:rsidRPr="00964430">
                        <w:rPr>
                          <w:rFonts w:ascii="Arial Narrow" w:hAnsi="Arial Narrow"/>
                          <w:b/>
                          <w:color w:val="FFFFFF" w:themeColor="background1"/>
                          <w:sz w:val="32"/>
                          <w:szCs w:val="32"/>
                        </w:rPr>
                        <w:t>ntar antecedentes al cargo: Director/a Centro Nacional De Arte Contemporáneo Cerrillos</w:t>
                      </w:r>
                    </w:p>
                  </w:txbxContent>
                </v:textbox>
              </v:shape>
            </w:pict>
          </mc:Fallback>
        </mc:AlternateContent>
      </w:r>
    </w:p>
    <w:p w:rsidR="00E121A0" w:rsidRDefault="00E121A0" w:rsidP="00E121A0">
      <w:pPr>
        <w:spacing w:after="0" w:line="240" w:lineRule="auto"/>
        <w:jc w:val="both"/>
        <w:rPr>
          <w:rFonts w:ascii="Arial Narrow" w:eastAsia="Times New Roman" w:hAnsi="Arial Narrow"/>
          <w:lang w:val="es-ES_tradnl" w:eastAsia="es-ES"/>
        </w:rPr>
      </w:pPr>
    </w:p>
    <w:p w:rsidR="00F670EF" w:rsidRDefault="00F670EF" w:rsidP="00E121A0">
      <w:pPr>
        <w:spacing w:after="0" w:line="240" w:lineRule="auto"/>
        <w:jc w:val="both"/>
        <w:rPr>
          <w:rFonts w:ascii="Arial Narrow" w:eastAsia="Times New Roman" w:hAnsi="Arial Narrow"/>
          <w:lang w:val="es-ES_tradnl" w:eastAsia="es-ES"/>
        </w:rPr>
      </w:pPr>
    </w:p>
    <w:p w:rsidR="00883B5B" w:rsidRDefault="00883B5B" w:rsidP="00E121A0">
      <w:pPr>
        <w:spacing w:after="0" w:line="240" w:lineRule="auto"/>
        <w:jc w:val="both"/>
        <w:rPr>
          <w:rFonts w:ascii="Arial Narrow" w:eastAsia="Times New Roman" w:hAnsi="Arial Narrow"/>
          <w:lang w:val="es-ES_tradnl" w:eastAsia="es-ES"/>
        </w:rPr>
      </w:pPr>
    </w:p>
    <w:p w:rsidR="00883B5B" w:rsidRPr="00027AEB" w:rsidRDefault="00883B5B" w:rsidP="00E121A0">
      <w:p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71"/>
        <w:gridCol w:w="6057"/>
      </w:tblGrid>
      <w:tr w:rsidR="00E121A0" w:rsidRPr="00027AEB" w:rsidTr="00883B5B">
        <w:trPr>
          <w:jc w:val="center"/>
        </w:trPr>
        <w:tc>
          <w:tcPr>
            <w:tcW w:w="2802" w:type="dxa"/>
          </w:tcPr>
          <w:p w:rsidR="00E121A0" w:rsidRPr="00027AEB" w:rsidRDefault="00964430" w:rsidP="00E121A0">
            <w:pPr>
              <w:jc w:val="both"/>
              <w:rPr>
                <w:rFonts w:asciiTheme="minorHAnsi" w:eastAsia="Times New Roman" w:hAnsiTheme="minorHAnsi"/>
                <w:lang w:val="es-ES_tradnl" w:eastAsia="es-ES"/>
              </w:rPr>
            </w:pPr>
            <w:r w:rsidRPr="00027AEB">
              <w:rPr>
                <w:rFonts w:asciiTheme="minorHAnsi" w:eastAsia="Times New Roman" w:hAnsiTheme="minorHAnsi"/>
                <w:lang w:val="es-ES_tradnl" w:eastAsia="es-ES"/>
              </w:rPr>
              <w:t>Nombre (O ID del postulante)</w:t>
            </w:r>
          </w:p>
        </w:tc>
        <w:tc>
          <w:tcPr>
            <w:tcW w:w="6176" w:type="dxa"/>
          </w:tcPr>
          <w:p w:rsidR="00E121A0" w:rsidRPr="00027AEB" w:rsidRDefault="00E121A0" w:rsidP="00E121A0">
            <w:pPr>
              <w:jc w:val="both"/>
              <w:rPr>
                <w:rFonts w:asciiTheme="minorHAnsi" w:eastAsia="Times New Roman" w:hAnsiTheme="minorHAnsi"/>
                <w:lang w:val="es-ES_tradnl" w:eastAsia="es-ES"/>
              </w:rPr>
            </w:pPr>
          </w:p>
        </w:tc>
      </w:tr>
      <w:tr w:rsidR="00E121A0" w:rsidRPr="00027AEB" w:rsidTr="00883B5B">
        <w:trPr>
          <w:jc w:val="center"/>
        </w:trPr>
        <w:tc>
          <w:tcPr>
            <w:tcW w:w="2802" w:type="dxa"/>
          </w:tcPr>
          <w:p w:rsidR="00E121A0" w:rsidRPr="00027AEB" w:rsidRDefault="00E121A0" w:rsidP="00E121A0">
            <w:pPr>
              <w:jc w:val="both"/>
              <w:rPr>
                <w:rFonts w:asciiTheme="minorHAnsi" w:eastAsia="Times New Roman" w:hAnsiTheme="minorHAnsi"/>
                <w:lang w:val="es-ES_tradnl" w:eastAsia="es-ES"/>
              </w:rPr>
            </w:pPr>
            <w:r w:rsidRPr="00027AEB">
              <w:rPr>
                <w:rFonts w:asciiTheme="minorHAnsi" w:eastAsia="Times New Roman" w:hAnsiTheme="minorHAnsi"/>
                <w:lang w:val="es-ES_tradnl" w:eastAsia="es-ES"/>
              </w:rPr>
              <w:t>Fecha de entrega:</w:t>
            </w:r>
          </w:p>
        </w:tc>
        <w:tc>
          <w:tcPr>
            <w:tcW w:w="6176" w:type="dxa"/>
          </w:tcPr>
          <w:p w:rsidR="00E121A0" w:rsidRPr="00027AEB" w:rsidRDefault="00E121A0" w:rsidP="00E121A0">
            <w:pPr>
              <w:jc w:val="both"/>
              <w:rPr>
                <w:rFonts w:asciiTheme="minorHAnsi" w:eastAsia="Times New Roman" w:hAnsiTheme="minorHAnsi"/>
                <w:lang w:val="es-ES_tradnl" w:eastAsia="es-ES"/>
              </w:rPr>
            </w:pPr>
          </w:p>
        </w:tc>
      </w:tr>
    </w:tbl>
    <w:p w:rsidR="00E121A0" w:rsidRPr="00027AEB" w:rsidRDefault="00E121A0" w:rsidP="00E121A0">
      <w:p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</w:p>
    <w:p w:rsidR="00883B5B" w:rsidRPr="00027AEB" w:rsidRDefault="00CF5D0F" w:rsidP="00281657">
      <w:p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  <w:r w:rsidRPr="00027AEB">
        <w:rPr>
          <w:rFonts w:asciiTheme="minorHAnsi" w:eastAsia="Times New Roman" w:hAnsiTheme="minorHAnsi"/>
          <w:lang w:val="es-ES_tradnl" w:eastAsia="es-ES"/>
        </w:rPr>
        <w:t>Aspectos formales de la entrega del plan de gestión:</w:t>
      </w:r>
      <w:r w:rsidR="00E510F8">
        <w:rPr>
          <w:rFonts w:asciiTheme="minorHAnsi" w:eastAsia="Times New Roman" w:hAnsiTheme="minorHAnsi"/>
          <w:lang w:val="es-ES_tradnl" w:eastAsia="es-ES"/>
        </w:rPr>
        <w:t xml:space="preserve"> </w:t>
      </w:r>
    </w:p>
    <w:p w:rsidR="00CF5D0F" w:rsidRPr="00027AEB" w:rsidRDefault="00CF5D0F" w:rsidP="00281657">
      <w:p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</w:p>
    <w:p w:rsidR="00CF5D0F" w:rsidRPr="00027AEB" w:rsidRDefault="00CF5D0F" w:rsidP="00CF5D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  <w:r w:rsidRPr="00027AEB">
        <w:rPr>
          <w:rFonts w:asciiTheme="minorHAnsi" w:eastAsia="Times New Roman" w:hAnsiTheme="minorHAnsi"/>
          <w:lang w:val="es-ES_tradnl" w:eastAsia="es-ES"/>
        </w:rPr>
        <w:t>Formato PPT o PDF m</w:t>
      </w:r>
      <w:r w:rsidR="00030974">
        <w:rPr>
          <w:rFonts w:asciiTheme="minorHAnsi" w:eastAsia="Times New Roman" w:hAnsiTheme="minorHAnsi"/>
          <w:lang w:val="es-ES_tradnl" w:eastAsia="es-ES"/>
        </w:rPr>
        <w:t>áximo 20</w:t>
      </w:r>
      <w:r w:rsidRPr="00027AEB">
        <w:rPr>
          <w:rFonts w:asciiTheme="minorHAnsi" w:eastAsia="Times New Roman" w:hAnsiTheme="minorHAnsi"/>
          <w:lang w:val="es-ES_tradnl" w:eastAsia="es-ES"/>
        </w:rPr>
        <w:t xml:space="preserve"> láminas</w:t>
      </w:r>
    </w:p>
    <w:p w:rsidR="00CF5D0F" w:rsidRPr="00027AEB" w:rsidRDefault="00CF5D0F" w:rsidP="00CF5D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  <w:r w:rsidRPr="00027AEB">
        <w:rPr>
          <w:rFonts w:asciiTheme="minorHAnsi" w:eastAsia="Times New Roman" w:hAnsiTheme="minorHAnsi"/>
          <w:lang w:val="es-ES_tradnl" w:eastAsia="es-ES"/>
        </w:rPr>
        <w:t>Identificación de la o el postulante</w:t>
      </w:r>
    </w:p>
    <w:p w:rsidR="00CF5D0F" w:rsidRPr="00027AEB" w:rsidRDefault="00CF5D0F" w:rsidP="00CF5D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  <w:r w:rsidRPr="00027AEB">
        <w:rPr>
          <w:rFonts w:asciiTheme="minorHAnsi" w:eastAsia="Times New Roman" w:hAnsiTheme="minorHAnsi"/>
          <w:lang w:val="es-ES_tradnl" w:eastAsia="es-ES"/>
        </w:rPr>
        <w:t>Primera parte de diagnóstico</w:t>
      </w:r>
    </w:p>
    <w:p w:rsidR="00CF5D0F" w:rsidRPr="00027AEB" w:rsidRDefault="00CF5D0F" w:rsidP="00CF5D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  <w:r w:rsidRPr="00027AEB">
        <w:rPr>
          <w:rFonts w:asciiTheme="minorHAnsi" w:eastAsia="Times New Roman" w:hAnsiTheme="minorHAnsi"/>
          <w:lang w:val="es-ES_tradnl" w:eastAsia="es-ES"/>
        </w:rPr>
        <w:t>Segunda parte plan de trabajo</w:t>
      </w:r>
    </w:p>
    <w:p w:rsidR="00CF5D0F" w:rsidRPr="00027AEB" w:rsidRDefault="00CF5D0F" w:rsidP="00CF5D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  <w:r w:rsidRPr="00027AEB">
        <w:rPr>
          <w:rFonts w:asciiTheme="minorHAnsi" w:eastAsia="Times New Roman" w:hAnsiTheme="minorHAnsi"/>
          <w:lang w:val="es-ES_tradnl" w:eastAsia="es-ES"/>
        </w:rPr>
        <w:t>La presentación debe integrar los conceptos asociados al punto 1.2 dentro de su desarrollo</w:t>
      </w:r>
    </w:p>
    <w:p w:rsidR="00CF5D0F" w:rsidRPr="00027AEB" w:rsidRDefault="00CF5D0F" w:rsidP="00CF5D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  <w:r w:rsidRPr="00027AEB">
        <w:rPr>
          <w:rFonts w:asciiTheme="minorHAnsi" w:eastAsia="Times New Roman" w:hAnsiTheme="minorHAnsi"/>
          <w:lang w:val="es-ES_tradnl" w:eastAsia="es-ES"/>
        </w:rPr>
        <w:t>La presentación podrá contemplar imágenes, gráficos, diagramas y toda referencia que apoye la presentación</w:t>
      </w:r>
    </w:p>
    <w:p w:rsidR="00CF5D0F" w:rsidRPr="00027AEB" w:rsidRDefault="00CF5D0F" w:rsidP="00CF5D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/>
          <w:lang w:val="es-ES_tradnl" w:eastAsia="es-ES"/>
        </w:rPr>
      </w:pPr>
      <w:r w:rsidRPr="00027AEB">
        <w:rPr>
          <w:rFonts w:asciiTheme="minorHAnsi" w:eastAsia="Times New Roman" w:hAnsiTheme="minorHAnsi"/>
          <w:lang w:val="es-ES_tradnl" w:eastAsia="es-ES"/>
        </w:rPr>
        <w:t xml:space="preserve">Deberá ser entregado vía correo electrónico </w:t>
      </w:r>
      <w:bookmarkStart w:id="1" w:name="_GoBack"/>
      <w:bookmarkEnd w:id="1"/>
      <w:r w:rsidRPr="00027AEB">
        <w:rPr>
          <w:rFonts w:asciiTheme="minorHAnsi" w:eastAsia="Times New Roman" w:hAnsiTheme="minorHAnsi"/>
          <w:lang w:val="es-ES_tradnl" w:eastAsia="es-ES"/>
        </w:rPr>
        <w:t>al departamento de Gestión de Personas con 48 horas de anterioridad a las entrevistas</w:t>
      </w:r>
    </w:p>
    <w:p w:rsidR="00FE2067" w:rsidRDefault="00FE2067" w:rsidP="00FE2067">
      <w:pPr>
        <w:spacing w:after="0" w:line="240" w:lineRule="auto"/>
        <w:jc w:val="both"/>
        <w:rPr>
          <w:rFonts w:ascii="Arial Narrow" w:eastAsia="Times New Roman" w:hAnsi="Arial Narrow"/>
          <w:lang w:val="es-ES_tradnl" w:eastAsia="es-ES"/>
        </w:rPr>
      </w:pPr>
    </w:p>
    <w:p w:rsidR="00883B5B" w:rsidRPr="00E121A0" w:rsidRDefault="00883B5B" w:rsidP="00883B5B">
      <w:pPr>
        <w:spacing w:after="0" w:line="240" w:lineRule="auto"/>
        <w:jc w:val="both"/>
        <w:rPr>
          <w:rFonts w:ascii="Arial Narrow" w:eastAsia="Times New Roman" w:hAnsi="Arial Narrow"/>
          <w:lang w:val="es-CL" w:eastAsia="es-ES"/>
        </w:rPr>
      </w:pPr>
    </w:p>
    <w:p w:rsidR="00883B5B" w:rsidRDefault="00883B5B" w:rsidP="00281657">
      <w:pPr>
        <w:contextualSpacing/>
        <w:jc w:val="both"/>
        <w:rPr>
          <w:rFonts w:ascii="Arial Narrow" w:eastAsia="Times New Roman" w:hAnsi="Arial Narrow"/>
          <w:lang w:val="es-CL" w:eastAsia="es-ES"/>
        </w:rPr>
      </w:pPr>
    </w:p>
    <w:p w:rsidR="00883B5B" w:rsidRDefault="00883B5B" w:rsidP="00281657">
      <w:pPr>
        <w:contextualSpacing/>
        <w:jc w:val="both"/>
        <w:rPr>
          <w:rFonts w:ascii="Arial Narrow" w:eastAsia="Times New Roman" w:hAnsi="Arial Narrow"/>
          <w:lang w:val="es-CL" w:eastAsia="es-ES"/>
        </w:rPr>
      </w:pPr>
    </w:p>
    <w:p w:rsidR="00883B5B" w:rsidRDefault="00883B5B" w:rsidP="00281657">
      <w:pPr>
        <w:contextualSpacing/>
        <w:jc w:val="both"/>
        <w:rPr>
          <w:rFonts w:ascii="Arial Narrow" w:eastAsia="Times New Roman" w:hAnsi="Arial Narrow"/>
          <w:lang w:val="es-CL" w:eastAsia="es-ES"/>
        </w:rPr>
      </w:pPr>
    </w:p>
    <w:p w:rsidR="00FE2067" w:rsidRDefault="00FE2067" w:rsidP="00FE2067">
      <w:pPr>
        <w:spacing w:after="0" w:line="240" w:lineRule="auto"/>
        <w:jc w:val="both"/>
        <w:rPr>
          <w:rFonts w:ascii="Arial Narrow" w:eastAsia="Times New Roman" w:hAnsi="Arial Narrow"/>
          <w:lang w:val="es-ES_tradnl" w:eastAsia="es-ES"/>
        </w:rPr>
      </w:pPr>
    </w:p>
    <w:p w:rsidR="000466B5" w:rsidRDefault="000466B5" w:rsidP="00961A6C">
      <w:pPr>
        <w:spacing w:after="0"/>
        <w:rPr>
          <w:b/>
          <w:color w:val="0070C0"/>
          <w:sz w:val="28"/>
          <w:szCs w:val="28"/>
        </w:rPr>
      </w:pPr>
    </w:p>
    <w:p w:rsidR="00EC3EC6" w:rsidRDefault="00EC3EC6" w:rsidP="00961A6C">
      <w:pPr>
        <w:spacing w:after="0"/>
        <w:rPr>
          <w:b/>
          <w:color w:val="0070C0"/>
          <w:sz w:val="28"/>
          <w:szCs w:val="28"/>
        </w:rPr>
      </w:pPr>
    </w:p>
    <w:p w:rsidR="00EC3EC6" w:rsidRDefault="00EC3EC6" w:rsidP="00961A6C">
      <w:pPr>
        <w:spacing w:after="0"/>
        <w:rPr>
          <w:b/>
          <w:color w:val="0070C0"/>
          <w:sz w:val="28"/>
          <w:szCs w:val="28"/>
        </w:rPr>
      </w:pPr>
    </w:p>
    <w:p w:rsidR="00EC3EC6" w:rsidRDefault="00EC3EC6" w:rsidP="00961A6C">
      <w:pPr>
        <w:spacing w:after="0"/>
        <w:rPr>
          <w:b/>
          <w:color w:val="0070C0"/>
          <w:sz w:val="28"/>
          <w:szCs w:val="28"/>
        </w:rPr>
      </w:pPr>
    </w:p>
    <w:p w:rsidR="00EC3EC6" w:rsidRDefault="00EC3EC6" w:rsidP="00961A6C">
      <w:pPr>
        <w:spacing w:after="0"/>
        <w:rPr>
          <w:b/>
          <w:color w:val="0070C0"/>
          <w:sz w:val="28"/>
          <w:szCs w:val="28"/>
        </w:rPr>
      </w:pPr>
    </w:p>
    <w:p w:rsidR="00EC3EC6" w:rsidRDefault="00EC3EC6" w:rsidP="00961A6C">
      <w:pPr>
        <w:spacing w:after="0"/>
        <w:rPr>
          <w:b/>
          <w:color w:val="0070C0"/>
          <w:sz w:val="28"/>
          <w:szCs w:val="28"/>
        </w:rPr>
      </w:pPr>
    </w:p>
    <w:p w:rsidR="00EC3EC6" w:rsidRDefault="00EC3EC6" w:rsidP="00961A6C">
      <w:pPr>
        <w:spacing w:after="0"/>
        <w:rPr>
          <w:b/>
          <w:color w:val="0070C0"/>
          <w:sz w:val="28"/>
          <w:szCs w:val="28"/>
        </w:rPr>
      </w:pPr>
    </w:p>
    <w:p w:rsidR="00EC3EC6" w:rsidRDefault="00EC3EC6" w:rsidP="00961A6C">
      <w:pPr>
        <w:spacing w:after="0"/>
        <w:rPr>
          <w:b/>
          <w:color w:val="0070C0"/>
          <w:sz w:val="28"/>
          <w:szCs w:val="28"/>
        </w:rPr>
      </w:pPr>
    </w:p>
    <w:p w:rsidR="00EC3EC6" w:rsidRDefault="00EC3EC6" w:rsidP="00961A6C">
      <w:pPr>
        <w:spacing w:after="0"/>
        <w:rPr>
          <w:b/>
          <w:color w:val="0070C0"/>
          <w:sz w:val="28"/>
          <w:szCs w:val="28"/>
        </w:rPr>
      </w:pPr>
    </w:p>
    <w:p w:rsidR="000466B5" w:rsidRDefault="000466B5" w:rsidP="00961A6C">
      <w:pPr>
        <w:spacing w:after="0"/>
        <w:rPr>
          <w:b/>
          <w:color w:val="0070C0"/>
          <w:sz w:val="28"/>
          <w:szCs w:val="28"/>
        </w:rPr>
      </w:pPr>
      <w:r w:rsidRPr="00F670EF">
        <w:rPr>
          <w:b/>
          <w:noProof/>
          <w:color w:val="0070C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2459F6" wp14:editId="379BF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09977" cy="447675"/>
                <wp:effectExtent l="0" t="0" r="15240" b="28575"/>
                <wp:wrapNone/>
                <wp:docPr id="6" name="297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977" cy="447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66B5" w:rsidRPr="00F670EF" w:rsidRDefault="00CF5D0F" w:rsidP="000466B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I</w:t>
                            </w:r>
                            <w:r w:rsidR="000466B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t>V. CRITERIOS DE EVALUACIÓN DEL PLAN PRESENTADO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2459F6" id="_x0000_s1030" type="#_x0000_t202" style="position:absolute;margin-left:0;margin-top:0;width:496.85pt;height:35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" fillcolor="#0070c0" strokeweight=".5pt">
                <v:textbox>
                  <w:txbxContent>
                    <w:p w:rsidR="000466B5" w:rsidRPr="00F670EF" w:rsidRDefault="00CF5D0F" w:rsidP="000466B5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I</w:t>
                      </w:r>
                      <w:r w:rsidR="000466B5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s-CL"/>
                        </w:rPr>
                        <w:t>V. CRITERIOS DE EVALUACIÓN DEL PLAN PRESENTADO</w:t>
                      </w:r>
                    </w:p>
                  </w:txbxContent>
                </v:textbox>
              </v:shape>
            </w:pict>
          </mc:Fallback>
        </mc:AlternateContent>
      </w:r>
    </w:p>
    <w:p w:rsidR="000466B5" w:rsidRDefault="000466B5" w:rsidP="000466B5">
      <w:pPr>
        <w:rPr>
          <w:sz w:val="28"/>
          <w:szCs w:val="28"/>
        </w:rPr>
      </w:pPr>
    </w:p>
    <w:p w:rsidR="0010628B" w:rsidRPr="00E11D91" w:rsidRDefault="0010628B" w:rsidP="0010628B">
      <w:pPr>
        <w:pStyle w:val="Prrafodelista"/>
        <w:ind w:hanging="360"/>
        <w:rPr>
          <w:color w:val="000000" w:themeColor="text1"/>
        </w:rPr>
      </w:pPr>
      <w:r w:rsidRPr="00E11D91">
        <w:rPr>
          <w:color w:val="000000" w:themeColor="text1"/>
        </w:rPr>
        <w:t>-</w:t>
      </w:r>
      <w:r w:rsidRPr="00E11D91">
        <w:rPr>
          <w:rFonts w:ascii="Times New Roman" w:hAnsi="Times New Roman"/>
          <w:color w:val="000000" w:themeColor="text1"/>
          <w:sz w:val="14"/>
          <w:szCs w:val="14"/>
        </w:rPr>
        <w:t xml:space="preserve">          </w:t>
      </w:r>
      <w:r w:rsidRPr="00E11D91">
        <w:rPr>
          <w:color w:val="000000" w:themeColor="text1"/>
        </w:rPr>
        <w:t>Pertinencia con los objetivos institucionales: La propuesta es coherente con la política sectorial, misión institucional, perfil del espacio</w:t>
      </w:r>
    </w:p>
    <w:p w:rsidR="0010628B" w:rsidRPr="00E11D91" w:rsidRDefault="0010628B" w:rsidP="0010628B">
      <w:pPr>
        <w:pStyle w:val="Prrafodelista"/>
        <w:ind w:hanging="360"/>
        <w:rPr>
          <w:color w:val="000000" w:themeColor="text1"/>
        </w:rPr>
      </w:pPr>
      <w:r w:rsidRPr="00E11D91">
        <w:rPr>
          <w:color w:val="000000" w:themeColor="text1"/>
        </w:rPr>
        <w:t>-</w:t>
      </w:r>
      <w:r w:rsidRPr="00E11D91">
        <w:rPr>
          <w:rFonts w:ascii="Times New Roman" w:hAnsi="Times New Roman"/>
          <w:color w:val="000000" w:themeColor="text1"/>
          <w:sz w:val="14"/>
          <w:szCs w:val="14"/>
        </w:rPr>
        <w:t xml:space="preserve">          </w:t>
      </w:r>
      <w:r w:rsidRPr="00E11D91">
        <w:rPr>
          <w:color w:val="000000" w:themeColor="text1"/>
        </w:rPr>
        <w:t>Calidad de la propuesta: La Propuesta contempla creatividad e innovación en las estrategias de públicos y programación presentadas</w:t>
      </w:r>
    </w:p>
    <w:p w:rsidR="0010628B" w:rsidRPr="00E11D91" w:rsidRDefault="0010628B" w:rsidP="0010628B">
      <w:pPr>
        <w:pStyle w:val="Prrafodelista"/>
        <w:ind w:hanging="360"/>
        <w:rPr>
          <w:color w:val="000000" w:themeColor="text1"/>
        </w:rPr>
      </w:pPr>
      <w:r w:rsidRPr="00E11D91">
        <w:rPr>
          <w:color w:val="000000" w:themeColor="text1"/>
        </w:rPr>
        <w:t>-</w:t>
      </w:r>
      <w:r w:rsidRPr="00E11D91">
        <w:rPr>
          <w:rFonts w:ascii="Times New Roman" w:hAnsi="Times New Roman"/>
          <w:color w:val="000000" w:themeColor="text1"/>
          <w:sz w:val="14"/>
          <w:szCs w:val="14"/>
        </w:rPr>
        <w:t xml:space="preserve">          </w:t>
      </w:r>
      <w:r w:rsidRPr="00E11D91">
        <w:rPr>
          <w:color w:val="000000" w:themeColor="text1"/>
        </w:rPr>
        <w:t xml:space="preserve">Capacidad de gestión asociativa: La propuesta presenta un sistema de relaciones </w:t>
      </w:r>
      <w:proofErr w:type="spellStart"/>
      <w:r w:rsidRPr="00E11D91">
        <w:rPr>
          <w:color w:val="000000" w:themeColor="text1"/>
        </w:rPr>
        <w:t>intra</w:t>
      </w:r>
      <w:proofErr w:type="spellEnd"/>
      <w:r w:rsidRPr="00E11D91">
        <w:rPr>
          <w:color w:val="000000" w:themeColor="text1"/>
        </w:rPr>
        <w:t xml:space="preserve"> e interinstitucionales en el ámbito nacional e internacional</w:t>
      </w:r>
    </w:p>
    <w:p w:rsidR="0010628B" w:rsidRPr="00E11D91" w:rsidRDefault="0010628B" w:rsidP="0010628B">
      <w:pPr>
        <w:pStyle w:val="Prrafodelista"/>
        <w:ind w:hanging="360"/>
        <w:rPr>
          <w:color w:val="000000" w:themeColor="text1"/>
        </w:rPr>
      </w:pPr>
      <w:r w:rsidRPr="00E11D91">
        <w:rPr>
          <w:color w:val="000000" w:themeColor="text1"/>
        </w:rPr>
        <w:t>-</w:t>
      </w:r>
      <w:r w:rsidRPr="00E11D91">
        <w:rPr>
          <w:rFonts w:ascii="Times New Roman" w:hAnsi="Times New Roman"/>
          <w:color w:val="000000" w:themeColor="text1"/>
          <w:sz w:val="14"/>
          <w:szCs w:val="14"/>
        </w:rPr>
        <w:t xml:space="preserve">          </w:t>
      </w:r>
      <w:r w:rsidRPr="00E11D91">
        <w:rPr>
          <w:color w:val="000000" w:themeColor="text1"/>
        </w:rPr>
        <w:t>Administración y gestión: La propuesta contempla la eficiencia y eficacia en la gestión de recursos e infraestructura pública</w:t>
      </w:r>
    </w:p>
    <w:p w:rsidR="00B72C79" w:rsidRPr="00E11D91" w:rsidRDefault="00B72C79" w:rsidP="0010628B">
      <w:pPr>
        <w:rPr>
          <w:color w:val="000000" w:themeColor="text1"/>
        </w:rPr>
      </w:pPr>
      <w:r w:rsidRPr="00E11D91">
        <w:rPr>
          <w:color w:val="000000" w:themeColor="text1"/>
        </w:rPr>
        <w:t>Cada ítem contempla</w:t>
      </w:r>
      <w:r w:rsidR="0010628B" w:rsidRPr="00E11D91">
        <w:rPr>
          <w:color w:val="000000" w:themeColor="text1"/>
        </w:rPr>
        <w:t xml:space="preserve"> </w:t>
      </w:r>
      <w:r w:rsidRPr="00E11D91">
        <w:rPr>
          <w:color w:val="000000" w:themeColor="text1"/>
        </w:rPr>
        <w:t xml:space="preserve">una escala de notas de </w:t>
      </w:r>
      <w:r w:rsidR="0010628B" w:rsidRPr="00E11D91">
        <w:rPr>
          <w:color w:val="000000" w:themeColor="text1"/>
        </w:rPr>
        <w:t xml:space="preserve"> 1 a 5</w:t>
      </w:r>
      <w:r w:rsidRPr="00E11D91">
        <w:rPr>
          <w:color w:val="000000" w:themeColor="text1"/>
        </w:rPr>
        <w:t xml:space="preserve">. </w:t>
      </w:r>
    </w:p>
    <w:p w:rsidR="0010628B" w:rsidRPr="00E11D91" w:rsidRDefault="00B72C79" w:rsidP="0010628B">
      <w:pPr>
        <w:rPr>
          <w:color w:val="000000" w:themeColor="text1"/>
        </w:rPr>
      </w:pPr>
      <w:r w:rsidRPr="00E11D91">
        <w:rPr>
          <w:color w:val="000000" w:themeColor="text1"/>
        </w:rPr>
        <w:t>Ponderaciones</w:t>
      </w:r>
      <w:r w:rsidR="0010628B" w:rsidRPr="00E11D91">
        <w:rPr>
          <w:color w:val="000000" w:themeColor="text1"/>
        </w:rPr>
        <w:t xml:space="preserve">  50% del puntaje de la entrevista completa, es decir, 50% test sicológico y 50% prestación del plan de gestión.</w:t>
      </w:r>
    </w:p>
    <w:p w:rsidR="0010628B" w:rsidRPr="000466B5" w:rsidRDefault="0010628B" w:rsidP="000466B5"/>
    <w:sectPr w:rsidR="0010628B" w:rsidRPr="000466B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51" w:rsidRDefault="00AC2B51" w:rsidP="00C036CD">
      <w:pPr>
        <w:spacing w:after="0" w:line="240" w:lineRule="auto"/>
      </w:pPr>
      <w:r>
        <w:separator/>
      </w:r>
    </w:p>
  </w:endnote>
  <w:endnote w:type="continuationSeparator" w:id="0">
    <w:p w:rsidR="00AC2B51" w:rsidRDefault="00AC2B51" w:rsidP="00C0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51" w:rsidRDefault="00AC2B51" w:rsidP="00C036CD">
      <w:pPr>
        <w:spacing w:after="0" w:line="240" w:lineRule="auto"/>
      </w:pPr>
      <w:r>
        <w:separator/>
      </w:r>
    </w:p>
  </w:footnote>
  <w:footnote w:type="continuationSeparator" w:id="0">
    <w:p w:rsidR="00AC2B51" w:rsidRDefault="00AC2B51" w:rsidP="00C0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5"/>
      <w:gridCol w:w="3969"/>
      <w:gridCol w:w="3685"/>
      <w:gridCol w:w="711"/>
    </w:tblGrid>
    <w:tr w:rsidR="000F2D7B" w:rsidRPr="000F2D7B" w:rsidTr="00DB114C">
      <w:trPr>
        <w:cantSplit/>
        <w:trHeight w:val="348"/>
        <w:jc w:val="center"/>
      </w:trPr>
      <w:tc>
        <w:tcPr>
          <w:tcW w:w="1355" w:type="dxa"/>
          <w:vMerge w:val="restart"/>
          <w:vAlign w:val="bottom"/>
        </w:tcPr>
        <w:p w:rsidR="000F2D7B" w:rsidRPr="000F2D7B" w:rsidRDefault="000F2D7B" w:rsidP="000F2D7B">
          <w:pPr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8"/>
              <w:szCs w:val="24"/>
              <w:lang w:val="es-VE" w:eastAsia="es-ES"/>
            </w:rPr>
          </w:pPr>
          <w:r w:rsidRPr="000F2D7B">
            <w:rPr>
              <w:rFonts w:ascii="Tahoma" w:eastAsia="Arial" w:hAnsi="Tahoma" w:cs="Tahoma"/>
              <w:b/>
              <w:bCs/>
              <w:noProof/>
              <w:sz w:val="8"/>
              <w:szCs w:val="24"/>
              <w:lang w:val="es-MX" w:eastAsia="es-MX"/>
            </w:rPr>
            <w:drawing>
              <wp:inline distT="0" distB="0" distL="0" distR="0" wp14:anchorId="44E5A533" wp14:editId="38FF6D1F">
                <wp:extent cx="704850" cy="581025"/>
                <wp:effectExtent l="0" t="0" r="0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F2D7B" w:rsidRPr="000F2D7B" w:rsidRDefault="000F2D7B" w:rsidP="000F2D7B">
          <w:pPr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8"/>
              <w:szCs w:val="24"/>
              <w:lang w:val="es-VE" w:eastAsia="es-ES"/>
            </w:rPr>
          </w:pPr>
        </w:p>
        <w:p w:rsidR="000F2D7B" w:rsidRPr="000F2D7B" w:rsidRDefault="000F2D7B" w:rsidP="000F2D7B">
          <w:pPr>
            <w:spacing w:after="0" w:line="240" w:lineRule="auto"/>
            <w:jc w:val="center"/>
            <w:rPr>
              <w:rFonts w:ascii="Tahoma" w:eastAsia="Arial" w:hAnsi="Tahoma" w:cs="Tahoma"/>
              <w:b/>
              <w:bCs/>
              <w:sz w:val="8"/>
              <w:szCs w:val="24"/>
              <w:lang w:val="es-VE" w:eastAsia="es-ES"/>
            </w:rPr>
          </w:pPr>
        </w:p>
        <w:p w:rsidR="000F2D7B" w:rsidRPr="000F2D7B" w:rsidRDefault="000F2D7B" w:rsidP="000F2D7B">
          <w:pPr>
            <w:spacing w:after="0" w:line="240" w:lineRule="auto"/>
            <w:jc w:val="center"/>
            <w:rPr>
              <w:rFonts w:ascii="Tahoma" w:eastAsia="Arial" w:hAnsi="Tahoma" w:cs="Tahoma"/>
              <w:sz w:val="8"/>
              <w:szCs w:val="24"/>
              <w:lang w:val="es-VE" w:eastAsia="es-ES"/>
            </w:rPr>
          </w:pPr>
        </w:p>
      </w:tc>
      <w:tc>
        <w:tcPr>
          <w:tcW w:w="7654" w:type="dxa"/>
          <w:gridSpan w:val="2"/>
          <w:vAlign w:val="center"/>
        </w:tcPr>
        <w:p w:rsidR="000F2D7B" w:rsidRPr="000F2D7B" w:rsidRDefault="000F2D7B" w:rsidP="000F2D7B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sz w:val="20"/>
              <w:szCs w:val="20"/>
              <w:lang w:val="es-VE" w:eastAsia="es-ES"/>
            </w:rPr>
          </w:pPr>
          <w:r w:rsidRPr="000F2D7B">
            <w:rPr>
              <w:rFonts w:ascii="Tahoma" w:eastAsia="Times New Roman" w:hAnsi="Tahoma" w:cs="Tahoma"/>
              <w:bCs/>
              <w:sz w:val="20"/>
              <w:szCs w:val="20"/>
              <w:lang w:val="es-VE" w:eastAsia="es-ES"/>
            </w:rPr>
            <w:t xml:space="preserve">SISTEMA INTEGRAL DE </w:t>
          </w:r>
          <w:r>
            <w:rPr>
              <w:rFonts w:ascii="Tahoma" w:eastAsia="Times New Roman" w:hAnsi="Tahoma" w:cs="Tahoma"/>
              <w:bCs/>
              <w:sz w:val="20"/>
              <w:szCs w:val="20"/>
              <w:lang w:val="es-VE" w:eastAsia="es-ES"/>
            </w:rPr>
            <w:t>GESTIÓN DE PERSONAS</w:t>
          </w:r>
          <w:r w:rsidRPr="000F2D7B">
            <w:rPr>
              <w:rFonts w:ascii="Tahoma" w:eastAsia="Times New Roman" w:hAnsi="Tahoma" w:cs="Tahoma"/>
              <w:bCs/>
              <w:sz w:val="20"/>
              <w:szCs w:val="20"/>
              <w:lang w:val="es-VE" w:eastAsia="es-ES"/>
            </w:rPr>
            <w:t xml:space="preserve"> </w:t>
          </w:r>
        </w:p>
      </w:tc>
      <w:tc>
        <w:tcPr>
          <w:tcW w:w="711" w:type="dxa"/>
          <w:vMerge w:val="restart"/>
          <w:vAlign w:val="center"/>
        </w:tcPr>
        <w:p w:rsidR="000F2D7B" w:rsidRPr="000F2D7B" w:rsidRDefault="000F2D7B" w:rsidP="000F2D7B">
          <w:pPr>
            <w:spacing w:after="0" w:line="240" w:lineRule="auto"/>
            <w:jc w:val="both"/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</w:pP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t xml:space="preserve"> Página</w:t>
          </w:r>
        </w:p>
        <w:p w:rsidR="000F2D7B" w:rsidRPr="000F2D7B" w:rsidRDefault="000F2D7B" w:rsidP="000F2D7B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</w:pP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fldChar w:fldCharType="begin"/>
          </w: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instrText xml:space="preserve"> PAGE </w:instrText>
          </w: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fldChar w:fldCharType="separate"/>
          </w:r>
          <w:r w:rsidR="004A43B8">
            <w:rPr>
              <w:rFonts w:ascii="Tahoma" w:eastAsia="Arial" w:hAnsi="Tahoma" w:cs="Tahoma"/>
              <w:bCs/>
              <w:noProof/>
              <w:sz w:val="14"/>
              <w:szCs w:val="24"/>
              <w:lang w:val="es-VE" w:eastAsia="es-ES"/>
            </w:rPr>
            <w:t>8</w:t>
          </w: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fldChar w:fldCharType="end"/>
          </w: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t xml:space="preserve"> de </w:t>
          </w: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fldChar w:fldCharType="begin"/>
          </w: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instrText xml:space="preserve"> NUMPAGES </w:instrText>
          </w: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fldChar w:fldCharType="separate"/>
          </w:r>
          <w:r w:rsidR="004A43B8">
            <w:rPr>
              <w:rFonts w:ascii="Tahoma" w:eastAsia="Arial" w:hAnsi="Tahoma" w:cs="Tahoma"/>
              <w:bCs/>
              <w:noProof/>
              <w:sz w:val="14"/>
              <w:szCs w:val="24"/>
              <w:lang w:val="es-VE" w:eastAsia="es-ES"/>
            </w:rPr>
            <w:t>8</w:t>
          </w: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fldChar w:fldCharType="end"/>
          </w:r>
        </w:p>
      </w:tc>
    </w:tr>
    <w:tr w:rsidR="000F2D7B" w:rsidRPr="000F2D7B" w:rsidTr="00DB114C">
      <w:trPr>
        <w:cantSplit/>
        <w:trHeight w:val="628"/>
        <w:jc w:val="center"/>
      </w:trPr>
      <w:tc>
        <w:tcPr>
          <w:tcW w:w="1355" w:type="dxa"/>
          <w:vMerge/>
        </w:tcPr>
        <w:p w:rsidR="000F2D7B" w:rsidRPr="000F2D7B" w:rsidRDefault="000F2D7B" w:rsidP="000F2D7B">
          <w:pPr>
            <w:spacing w:after="0" w:line="240" w:lineRule="auto"/>
            <w:jc w:val="both"/>
            <w:rPr>
              <w:rFonts w:ascii="Tahoma" w:eastAsia="Arial" w:hAnsi="Tahoma" w:cs="Tahoma"/>
              <w:b/>
              <w:bCs/>
              <w:sz w:val="20"/>
              <w:szCs w:val="24"/>
              <w:lang w:val="es-VE" w:eastAsia="es-ES"/>
            </w:rPr>
          </w:pPr>
        </w:p>
      </w:tc>
      <w:tc>
        <w:tcPr>
          <w:tcW w:w="7654" w:type="dxa"/>
          <w:gridSpan w:val="2"/>
          <w:vAlign w:val="center"/>
        </w:tcPr>
        <w:p w:rsidR="000F2D7B" w:rsidRPr="000F2D7B" w:rsidRDefault="000F2D7B" w:rsidP="000F2D7B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sz w:val="20"/>
              <w:szCs w:val="20"/>
              <w:lang w:val="es-VE" w:eastAsia="es-ES"/>
            </w:rPr>
          </w:pPr>
          <w:r w:rsidRPr="000F2D7B">
            <w:rPr>
              <w:rFonts w:ascii="Tahoma" w:eastAsia="Times New Roman" w:hAnsi="Tahoma" w:cs="Tahoma"/>
              <w:bCs/>
              <w:sz w:val="20"/>
              <w:szCs w:val="20"/>
              <w:lang w:val="es-VE" w:eastAsia="es-ES"/>
            </w:rPr>
            <w:t xml:space="preserve">ORIENTACIONES Y FORMATO DE TRABAJO PARA ETAPA DE FORMULACIÓN DEL PLAN DE GESTIÓN LLAMADO A PRESENTAR ANTECEDENTES AL CARGO: </w:t>
          </w:r>
        </w:p>
        <w:p w:rsidR="000F2D7B" w:rsidRPr="000F2D7B" w:rsidRDefault="000F2D7B" w:rsidP="000F2D7B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sz w:val="20"/>
              <w:szCs w:val="20"/>
              <w:lang w:val="es-VE" w:eastAsia="es-ES"/>
            </w:rPr>
          </w:pPr>
          <w:r w:rsidRPr="000F2D7B">
            <w:rPr>
              <w:rFonts w:ascii="Tahoma" w:eastAsia="Times New Roman" w:hAnsi="Tahoma" w:cs="Tahoma"/>
              <w:bCs/>
              <w:sz w:val="20"/>
              <w:szCs w:val="20"/>
              <w:lang w:val="es-VE" w:eastAsia="es-ES"/>
            </w:rPr>
            <w:t>DIRECTOR/A CENTRO NACIONAL DE ARTE CONTEMPORÁNEO CERRILLOS</w:t>
          </w:r>
        </w:p>
      </w:tc>
      <w:tc>
        <w:tcPr>
          <w:tcW w:w="711" w:type="dxa"/>
          <w:vMerge/>
        </w:tcPr>
        <w:p w:rsidR="000F2D7B" w:rsidRPr="000F2D7B" w:rsidRDefault="000F2D7B" w:rsidP="000F2D7B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ahoma" w:eastAsia="Arial" w:hAnsi="Tahoma"/>
              <w:sz w:val="16"/>
              <w:szCs w:val="16"/>
              <w:lang w:eastAsia="es-ES"/>
            </w:rPr>
          </w:pPr>
        </w:p>
      </w:tc>
    </w:tr>
    <w:tr w:rsidR="000F2D7B" w:rsidRPr="000F2D7B" w:rsidTr="00DB114C">
      <w:trPr>
        <w:cantSplit/>
        <w:trHeight w:val="389"/>
        <w:jc w:val="center"/>
      </w:trPr>
      <w:tc>
        <w:tcPr>
          <w:tcW w:w="1355" w:type="dxa"/>
          <w:vAlign w:val="center"/>
        </w:tcPr>
        <w:p w:rsidR="000F2D7B" w:rsidRPr="000F2D7B" w:rsidRDefault="000F2D7B" w:rsidP="000F2D7B">
          <w:pPr>
            <w:spacing w:after="0" w:line="240" w:lineRule="auto"/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</w:pP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t>Última revisión:</w:t>
          </w:r>
        </w:p>
        <w:p w:rsidR="000F2D7B" w:rsidRPr="000F2D7B" w:rsidRDefault="000F2D7B" w:rsidP="000F2D7B">
          <w:pPr>
            <w:spacing w:after="0" w:line="240" w:lineRule="auto"/>
            <w:rPr>
              <w:rFonts w:ascii="Tahoma" w:eastAsia="Arial" w:hAnsi="Tahoma" w:cs="Tahoma"/>
              <w:bCs/>
              <w:noProof/>
              <w:sz w:val="14"/>
              <w:szCs w:val="24"/>
              <w:lang w:val="es-VE" w:eastAsia="es-ES"/>
            </w:rPr>
          </w:pPr>
        </w:p>
      </w:tc>
      <w:tc>
        <w:tcPr>
          <w:tcW w:w="3969" w:type="dxa"/>
        </w:tcPr>
        <w:p w:rsidR="000F2D7B" w:rsidRPr="000F2D7B" w:rsidRDefault="000F2D7B" w:rsidP="000F2D7B">
          <w:pPr>
            <w:spacing w:after="0" w:line="240" w:lineRule="auto"/>
            <w:jc w:val="both"/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</w:pP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t>Departamento responsable:</w:t>
          </w:r>
        </w:p>
        <w:p w:rsidR="000F2D7B" w:rsidRPr="000F2D7B" w:rsidRDefault="000F2D7B" w:rsidP="000F2D7B">
          <w:pPr>
            <w:spacing w:after="0" w:line="240" w:lineRule="auto"/>
            <w:jc w:val="both"/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</w:pP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t>GESTIÓN Y DESARROLLO DE PERSONAS</w:t>
          </w:r>
        </w:p>
      </w:tc>
      <w:tc>
        <w:tcPr>
          <w:tcW w:w="4396" w:type="dxa"/>
          <w:gridSpan w:val="2"/>
        </w:tcPr>
        <w:p w:rsidR="000F2D7B" w:rsidRPr="000F2D7B" w:rsidRDefault="000F2D7B" w:rsidP="000F2D7B">
          <w:pPr>
            <w:spacing w:after="0" w:line="240" w:lineRule="auto"/>
            <w:jc w:val="both"/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</w:pP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t>Sección:</w:t>
          </w:r>
        </w:p>
        <w:p w:rsidR="000F2D7B" w:rsidRPr="000F2D7B" w:rsidRDefault="000F2D7B" w:rsidP="000F2D7B">
          <w:pPr>
            <w:spacing w:after="0" w:line="240" w:lineRule="auto"/>
            <w:jc w:val="both"/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</w:pPr>
          <w:r w:rsidRPr="000F2D7B">
            <w:rPr>
              <w:rFonts w:ascii="Tahoma" w:eastAsia="Arial" w:hAnsi="Tahoma" w:cs="Tahoma"/>
              <w:bCs/>
              <w:sz w:val="14"/>
              <w:szCs w:val="24"/>
              <w:lang w:val="es-VE" w:eastAsia="es-ES"/>
            </w:rPr>
            <w:t>DESARROLLO DE LAS PERSONAS</w:t>
          </w:r>
        </w:p>
      </w:tc>
    </w:tr>
  </w:tbl>
  <w:p w:rsidR="000F2D7B" w:rsidRDefault="000F2D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31E0"/>
    <w:multiLevelType w:val="hybridMultilevel"/>
    <w:tmpl w:val="717AC866"/>
    <w:lvl w:ilvl="0" w:tplc="9F90D67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403DB4"/>
    <w:multiLevelType w:val="hybridMultilevel"/>
    <w:tmpl w:val="C90A4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7863"/>
    <w:multiLevelType w:val="hybridMultilevel"/>
    <w:tmpl w:val="8D50C3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5830"/>
    <w:multiLevelType w:val="hybridMultilevel"/>
    <w:tmpl w:val="21481B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6F9"/>
    <w:multiLevelType w:val="hybridMultilevel"/>
    <w:tmpl w:val="6CDE0DFE"/>
    <w:lvl w:ilvl="0" w:tplc="9F90D67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604BC"/>
    <w:multiLevelType w:val="hybridMultilevel"/>
    <w:tmpl w:val="37C85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1FFD"/>
    <w:multiLevelType w:val="hybridMultilevel"/>
    <w:tmpl w:val="2B1E6348"/>
    <w:lvl w:ilvl="0" w:tplc="9F36752A">
      <w:numFmt w:val="bullet"/>
      <w:lvlText w:val="-"/>
      <w:lvlJc w:val="left"/>
      <w:pPr>
        <w:ind w:left="1065" w:hanging="705"/>
      </w:pPr>
      <w:rPr>
        <w:rFonts w:ascii="Calibri" w:eastAsia="Arial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D"/>
    <w:rsid w:val="00005CE4"/>
    <w:rsid w:val="00006E38"/>
    <w:rsid w:val="00012E78"/>
    <w:rsid w:val="00015822"/>
    <w:rsid w:val="00027AEB"/>
    <w:rsid w:val="00030974"/>
    <w:rsid w:val="0004378E"/>
    <w:rsid w:val="000466B5"/>
    <w:rsid w:val="000813A3"/>
    <w:rsid w:val="00084F3C"/>
    <w:rsid w:val="00087699"/>
    <w:rsid w:val="000A1293"/>
    <w:rsid w:val="000C5380"/>
    <w:rsid w:val="000F2D7B"/>
    <w:rsid w:val="000F328A"/>
    <w:rsid w:val="000F3504"/>
    <w:rsid w:val="000F40BA"/>
    <w:rsid w:val="00103B9F"/>
    <w:rsid w:val="00104258"/>
    <w:rsid w:val="0010628B"/>
    <w:rsid w:val="00106A34"/>
    <w:rsid w:val="001475F9"/>
    <w:rsid w:val="00175474"/>
    <w:rsid w:val="001761AE"/>
    <w:rsid w:val="001873D9"/>
    <w:rsid w:val="00191CE7"/>
    <w:rsid w:val="0019651D"/>
    <w:rsid w:val="001B4102"/>
    <w:rsid w:val="001C42EC"/>
    <w:rsid w:val="001E38C3"/>
    <w:rsid w:val="001F68F2"/>
    <w:rsid w:val="002162EB"/>
    <w:rsid w:val="002529C2"/>
    <w:rsid w:val="00264BDC"/>
    <w:rsid w:val="00267DD6"/>
    <w:rsid w:val="00275878"/>
    <w:rsid w:val="00281657"/>
    <w:rsid w:val="0028791B"/>
    <w:rsid w:val="002973BC"/>
    <w:rsid w:val="002C3968"/>
    <w:rsid w:val="002C4D9D"/>
    <w:rsid w:val="002D06F9"/>
    <w:rsid w:val="002E7898"/>
    <w:rsid w:val="00330632"/>
    <w:rsid w:val="00344DAC"/>
    <w:rsid w:val="0036132D"/>
    <w:rsid w:val="003849AE"/>
    <w:rsid w:val="00390DDF"/>
    <w:rsid w:val="003A178D"/>
    <w:rsid w:val="003A32EA"/>
    <w:rsid w:val="003B4D89"/>
    <w:rsid w:val="003C1395"/>
    <w:rsid w:val="003E7FF2"/>
    <w:rsid w:val="00417AE5"/>
    <w:rsid w:val="00420B16"/>
    <w:rsid w:val="00423B9F"/>
    <w:rsid w:val="00450E74"/>
    <w:rsid w:val="00453C48"/>
    <w:rsid w:val="00454F18"/>
    <w:rsid w:val="004A43B8"/>
    <w:rsid w:val="004A45A5"/>
    <w:rsid w:val="004C7F50"/>
    <w:rsid w:val="004D022D"/>
    <w:rsid w:val="004F3171"/>
    <w:rsid w:val="005054C4"/>
    <w:rsid w:val="00511554"/>
    <w:rsid w:val="00520278"/>
    <w:rsid w:val="00542D97"/>
    <w:rsid w:val="00544F58"/>
    <w:rsid w:val="00560A91"/>
    <w:rsid w:val="0056582B"/>
    <w:rsid w:val="00572217"/>
    <w:rsid w:val="00573427"/>
    <w:rsid w:val="00590C68"/>
    <w:rsid w:val="005A4CDF"/>
    <w:rsid w:val="005B6FA1"/>
    <w:rsid w:val="005B7635"/>
    <w:rsid w:val="005C3E0B"/>
    <w:rsid w:val="005C5B6E"/>
    <w:rsid w:val="005D0065"/>
    <w:rsid w:val="005D4946"/>
    <w:rsid w:val="005E4224"/>
    <w:rsid w:val="0060142F"/>
    <w:rsid w:val="006412E1"/>
    <w:rsid w:val="00651287"/>
    <w:rsid w:val="006514DE"/>
    <w:rsid w:val="00676FEB"/>
    <w:rsid w:val="006A06ED"/>
    <w:rsid w:val="006A3704"/>
    <w:rsid w:val="006A3CD0"/>
    <w:rsid w:val="006D7B1D"/>
    <w:rsid w:val="006E71ED"/>
    <w:rsid w:val="00703ADA"/>
    <w:rsid w:val="00705BCA"/>
    <w:rsid w:val="00726D96"/>
    <w:rsid w:val="007429D5"/>
    <w:rsid w:val="00773868"/>
    <w:rsid w:val="00776C4A"/>
    <w:rsid w:val="00783189"/>
    <w:rsid w:val="007A2DB3"/>
    <w:rsid w:val="007C5CF2"/>
    <w:rsid w:val="00801C1F"/>
    <w:rsid w:val="00833BF0"/>
    <w:rsid w:val="00870BEF"/>
    <w:rsid w:val="00883B5B"/>
    <w:rsid w:val="00893AEE"/>
    <w:rsid w:val="008B396E"/>
    <w:rsid w:val="008C3BBC"/>
    <w:rsid w:val="008C556E"/>
    <w:rsid w:val="008E72BF"/>
    <w:rsid w:val="00912CF1"/>
    <w:rsid w:val="0091325B"/>
    <w:rsid w:val="00920157"/>
    <w:rsid w:val="00922C6C"/>
    <w:rsid w:val="00940EF6"/>
    <w:rsid w:val="00944B80"/>
    <w:rsid w:val="009462E7"/>
    <w:rsid w:val="00947947"/>
    <w:rsid w:val="00961A6C"/>
    <w:rsid w:val="00964430"/>
    <w:rsid w:val="00966C6A"/>
    <w:rsid w:val="0098407D"/>
    <w:rsid w:val="00993BFE"/>
    <w:rsid w:val="009C2115"/>
    <w:rsid w:val="00A12C00"/>
    <w:rsid w:val="00A37D55"/>
    <w:rsid w:val="00A4695A"/>
    <w:rsid w:val="00A5497C"/>
    <w:rsid w:val="00A55DAD"/>
    <w:rsid w:val="00A624A3"/>
    <w:rsid w:val="00A92535"/>
    <w:rsid w:val="00A94DBE"/>
    <w:rsid w:val="00AA0A61"/>
    <w:rsid w:val="00AA187F"/>
    <w:rsid w:val="00AC2B51"/>
    <w:rsid w:val="00AC2EE0"/>
    <w:rsid w:val="00AE1EFA"/>
    <w:rsid w:val="00AF18EC"/>
    <w:rsid w:val="00AF7C72"/>
    <w:rsid w:val="00B25B43"/>
    <w:rsid w:val="00B26787"/>
    <w:rsid w:val="00B45A77"/>
    <w:rsid w:val="00B46CF7"/>
    <w:rsid w:val="00B5044D"/>
    <w:rsid w:val="00B51280"/>
    <w:rsid w:val="00B54D43"/>
    <w:rsid w:val="00B56081"/>
    <w:rsid w:val="00B72C79"/>
    <w:rsid w:val="00B75A16"/>
    <w:rsid w:val="00B85C7E"/>
    <w:rsid w:val="00B96312"/>
    <w:rsid w:val="00BC0DCF"/>
    <w:rsid w:val="00BC0FBF"/>
    <w:rsid w:val="00BE3798"/>
    <w:rsid w:val="00BF1D72"/>
    <w:rsid w:val="00BF307F"/>
    <w:rsid w:val="00BF4A5E"/>
    <w:rsid w:val="00C036CD"/>
    <w:rsid w:val="00C1496C"/>
    <w:rsid w:val="00C214CB"/>
    <w:rsid w:val="00C27A18"/>
    <w:rsid w:val="00C44363"/>
    <w:rsid w:val="00C62530"/>
    <w:rsid w:val="00CD4C87"/>
    <w:rsid w:val="00CD7637"/>
    <w:rsid w:val="00CF5D0F"/>
    <w:rsid w:val="00D01F12"/>
    <w:rsid w:val="00D0217E"/>
    <w:rsid w:val="00D11634"/>
    <w:rsid w:val="00D15310"/>
    <w:rsid w:val="00D205F0"/>
    <w:rsid w:val="00D209B6"/>
    <w:rsid w:val="00D641AD"/>
    <w:rsid w:val="00D677AB"/>
    <w:rsid w:val="00D84B38"/>
    <w:rsid w:val="00DB14CC"/>
    <w:rsid w:val="00DB7C9E"/>
    <w:rsid w:val="00DD38CA"/>
    <w:rsid w:val="00DD6772"/>
    <w:rsid w:val="00DF4956"/>
    <w:rsid w:val="00DF6967"/>
    <w:rsid w:val="00E11D91"/>
    <w:rsid w:val="00E121A0"/>
    <w:rsid w:val="00E36E27"/>
    <w:rsid w:val="00E41421"/>
    <w:rsid w:val="00E510F8"/>
    <w:rsid w:val="00E57458"/>
    <w:rsid w:val="00E60E67"/>
    <w:rsid w:val="00E620D2"/>
    <w:rsid w:val="00E63C6C"/>
    <w:rsid w:val="00E96117"/>
    <w:rsid w:val="00EC3EC6"/>
    <w:rsid w:val="00EE3227"/>
    <w:rsid w:val="00EF5ADB"/>
    <w:rsid w:val="00F00153"/>
    <w:rsid w:val="00F12F7A"/>
    <w:rsid w:val="00F6087E"/>
    <w:rsid w:val="00F670EF"/>
    <w:rsid w:val="00F675C5"/>
    <w:rsid w:val="00F81884"/>
    <w:rsid w:val="00FC0E80"/>
    <w:rsid w:val="00FE2067"/>
    <w:rsid w:val="00FE78ED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F7719D1D-BDAD-4405-9E93-B7C5CE14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A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6C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036CD"/>
  </w:style>
  <w:style w:type="paragraph" w:styleId="Piedepgina">
    <w:name w:val="footer"/>
    <w:basedOn w:val="Normal"/>
    <w:link w:val="PiedepginaCar"/>
    <w:uiPriority w:val="99"/>
    <w:unhideWhenUsed/>
    <w:rsid w:val="00C036C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36CD"/>
  </w:style>
  <w:style w:type="paragraph" w:styleId="Textodeglobo">
    <w:name w:val="Balloon Text"/>
    <w:basedOn w:val="Normal"/>
    <w:link w:val="TextodegloboCar"/>
    <w:uiPriority w:val="99"/>
    <w:semiHidden/>
    <w:unhideWhenUsed/>
    <w:rsid w:val="00C036CD"/>
    <w:pPr>
      <w:spacing w:after="0" w:line="240" w:lineRule="auto"/>
    </w:pPr>
    <w:rPr>
      <w:rFonts w:ascii="Tahoma" w:eastAsiaTheme="minorHAnsi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A6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A3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A32EA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6CF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6CF7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46CF7"/>
    <w:rPr>
      <w:vertAlign w:val="superscript"/>
    </w:rPr>
  </w:style>
  <w:style w:type="table" w:styleId="Tablaconcuadrcula">
    <w:name w:val="Table Grid"/>
    <w:basedOn w:val="Tablanormal"/>
    <w:uiPriority w:val="59"/>
    <w:rsid w:val="00E1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8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59"/>
    <w:rsid w:val="008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59"/>
    <w:rsid w:val="008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59"/>
    <w:rsid w:val="008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uiPriority w:val="59"/>
    <w:rsid w:val="0089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2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F17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17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17A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7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7A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A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.gob.cl/ministeri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tronacionaldearte.c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ultura.gob.cl/politicas-culturales/artes-de-la-visualid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a.gob.cl/politicas-cultural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EE18-547C-48A6-9B7D-F211B7C2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1680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Roxana Marchant Ramírez</dc:creator>
  <cp:lastModifiedBy>Omar Piñera Salazar</cp:lastModifiedBy>
  <cp:revision>5</cp:revision>
  <cp:lastPrinted>2019-04-30T20:44:00Z</cp:lastPrinted>
  <dcterms:created xsi:type="dcterms:W3CDTF">2019-05-10T19:19:00Z</dcterms:created>
  <dcterms:modified xsi:type="dcterms:W3CDTF">2019-05-22T17:14:00Z</dcterms:modified>
</cp:coreProperties>
</file>