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Planilla de </w:t>
      </w:r>
      <w:r w:rsidDel="00000000" w:rsidR="00000000" w:rsidRPr="00000000">
        <w:rPr>
          <w:b w:val="1"/>
          <w:rtl w:val="0"/>
        </w:rPr>
        <w:t xml:space="preserve">Marco Jurídico, SESIÓN N°2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Fecha: 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Inicio: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Fin: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Facilitador 1: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Facilitador 2: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Encargada/o Apoyo técnico (Jamboard): 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Encargada/o Toma de Notas:  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Roboto" w:cs="Roboto" w:eastAsia="Roboto" w:hAnsi="Roboto"/>
          <w:b w:val="1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shd w:fill="f1f3f4" w:val="clear"/>
          <w:rtl w:val="0"/>
        </w:rPr>
        <w:t xml:space="preserve">Minuta libre: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Diagnóstico ¿Cuáles son los principales desafíos que enfrenta  hoy el ámbito de la lectura?</w:t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b w:val="1"/>
          <w:rtl w:val="0"/>
        </w:rPr>
        <w:t xml:space="preserve">¿Qué oportunidades existen para el próximo quinquenio?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Marco Bravo-Badilla: Es políticamente correcto agregar siempre las diversidades, las diferencias que nos constituyen pero pregunto ¿habrá una forma más breve de escribir esto sin dejar de lado a nadie?</w:t>
      </w:r>
    </w:p>
    <w:p w:rsidR="00000000" w:rsidDel="00000000" w:rsidP="00000000" w:rsidRDefault="00000000" w:rsidRPr="00000000" w14:paraId="0000001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Daniela Correa: De acuerdo con Marco en que queda un poco largo, pero yo di mi voto porque me faltan incluir los derechos de autor y con los espacios de diálogo y lectura, que la política no hable solo de acceso, sino que se incluya los diálogos que salen de la lectura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Valentina Osses: cuando nos hacen hacer este ejercicio del objetivo ¿Qué sucede con esto?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Francisca Navarro - SNBP: Cambiaría el verbo cambiar por fortalecer o dar garantías, dado que es algo que ya está creado. Incluiría también la palabra bibliotecas y derecho a la lectura. Por último utilizar el término de integración social más allá de la inclusión social.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Leonardo Naranjo CRBP Araucanía: Muy de acuerdo con incluir la palabra biblioteca. Cambiaría la palabra crear por asegurar incluyendo un espacio en donde se asegure, para que se tengan garantías en cada espacio y comuna se baje esta política. Aquí en araucanía se habla de la puesta en valor de la diversidad cultural, ampliando la discusión de inclusión.</w:t>
      </w:r>
      <w:r w:rsidDel="00000000" w:rsidR="00000000" w:rsidRPr="00000000">
        <w:rPr>
          <w:rtl w:val="0"/>
        </w:rPr>
      </w:r>
    </w:p>
    <w:sectPr>
      <w:foot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